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1E3B0">
      <w:pPr>
        <w:rPr>
          <w:rFonts w:hint="default" w:ascii="仿宋" w:hAnsi="仿宋" w:eastAsia="仿宋"/>
          <w:sz w:val="32"/>
          <w:szCs w:val="32"/>
          <w:lang w:val="en-US" w:eastAsia="zh-CN"/>
        </w:rPr>
      </w:pPr>
      <w:r>
        <w:rPr>
          <w:rFonts w:hint="eastAsia" w:ascii="仿宋" w:hAnsi="仿宋" w:eastAsia="仿宋"/>
          <w:sz w:val="32"/>
          <w:szCs w:val="32"/>
          <w:lang w:val="en-US" w:eastAsia="zh-CN"/>
        </w:rPr>
        <w:t>附件2</w:t>
      </w:r>
    </w:p>
    <w:p w14:paraId="029EC598">
      <w:pPr>
        <w:spacing w:line="240" w:lineRule="auto"/>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福州市水务文化旅游有限公司</w:t>
      </w:r>
      <w:bookmarkStart w:id="0" w:name="OLE_LINK1"/>
      <w:r>
        <w:rPr>
          <w:rFonts w:hint="eastAsia" w:ascii="方正小标宋_GBK" w:hAnsi="方正小标宋_GBK" w:eastAsia="方正小标宋_GBK" w:cs="方正小标宋_GBK"/>
          <w:sz w:val="44"/>
          <w:szCs w:val="44"/>
          <w:lang w:val="en-US" w:eastAsia="zh-CN"/>
        </w:rPr>
        <w:t>游船航线</w:t>
      </w:r>
    </w:p>
    <w:p w14:paraId="5C53D8DA">
      <w:pPr>
        <w:spacing w:line="240" w:lineRule="auto"/>
        <w:jc w:val="center"/>
        <w:rPr>
          <w:rFonts w:hint="eastAsia" w:ascii="方正小标宋_GBK" w:hAnsi="方正小标宋_GBK" w:eastAsia="方正小标宋_GBK" w:cs="方正小标宋_GBK"/>
          <w:b/>
          <w:bCs/>
          <w:sz w:val="32"/>
          <w:szCs w:val="32"/>
          <w:lang w:val="en-US" w:eastAsia="zh-CN"/>
        </w:rPr>
      </w:pPr>
      <w:r>
        <w:rPr>
          <w:rFonts w:hint="eastAsia" w:ascii="方正小标宋_GBK" w:hAnsi="方正小标宋_GBK" w:eastAsia="方正小标宋_GBK" w:cs="方正小标宋_GBK"/>
          <w:sz w:val="44"/>
          <w:szCs w:val="44"/>
          <w:lang w:val="en-US" w:eastAsia="zh-CN"/>
        </w:rPr>
        <w:t>自助售货机设备合作方案</w:t>
      </w:r>
      <w:bookmarkEnd w:id="0"/>
    </w:p>
    <w:p w14:paraId="2FC899B7">
      <w:pPr>
        <w:ind w:firstLine="643" w:firstLineChars="200"/>
        <w:rPr>
          <w:rFonts w:hint="eastAsia" w:ascii="仿宋" w:hAnsi="仿宋" w:eastAsia="仿宋"/>
          <w:b/>
          <w:bCs/>
          <w:sz w:val="32"/>
          <w:szCs w:val="32"/>
        </w:rPr>
      </w:pPr>
      <w:r>
        <w:rPr>
          <w:rFonts w:hint="eastAsia" w:ascii="仿宋" w:hAnsi="仿宋" w:eastAsia="仿宋"/>
          <w:b/>
          <w:bCs/>
          <w:sz w:val="32"/>
          <w:szCs w:val="32"/>
        </w:rPr>
        <w:t>一、项目背景</w:t>
      </w:r>
    </w:p>
    <w:p w14:paraId="57216137">
      <w:pPr>
        <w:ind w:firstLine="640" w:firstLineChars="200"/>
        <w:rPr>
          <w:rFonts w:hint="default" w:ascii="仿宋" w:hAnsi="仿宋" w:eastAsia="仿宋"/>
          <w:sz w:val="32"/>
          <w:szCs w:val="32"/>
          <w:lang w:val="en-US" w:eastAsia="zh-CN"/>
        </w:rPr>
      </w:pPr>
      <w:r>
        <w:rPr>
          <w:rFonts w:hint="eastAsia" w:ascii="仿宋" w:hAnsi="仿宋" w:eastAsia="仿宋"/>
          <w:sz w:val="32"/>
          <w:szCs w:val="32"/>
        </w:rPr>
        <w:t>为做好内河旅游运营工作，丰富</w:t>
      </w:r>
      <w:r>
        <w:rPr>
          <w:rFonts w:hint="eastAsia" w:ascii="仿宋" w:hAnsi="仿宋" w:eastAsia="仿宋"/>
          <w:sz w:val="32"/>
          <w:szCs w:val="32"/>
          <w:lang w:val="en-US" w:eastAsia="zh-CN"/>
        </w:rPr>
        <w:t>内河</w:t>
      </w:r>
      <w:r>
        <w:rPr>
          <w:rFonts w:hint="eastAsia" w:ascii="仿宋" w:hAnsi="仿宋" w:eastAsia="仿宋"/>
          <w:sz w:val="32"/>
          <w:szCs w:val="32"/>
          <w:lang w:eastAsia="zh-CN"/>
        </w:rPr>
        <w:t>周边配套</w:t>
      </w:r>
      <w:r>
        <w:rPr>
          <w:rFonts w:hint="eastAsia" w:ascii="仿宋" w:hAnsi="仿宋" w:eastAsia="仿宋"/>
          <w:sz w:val="32"/>
          <w:szCs w:val="32"/>
          <w:lang w:val="en-US" w:eastAsia="zh-CN"/>
        </w:rPr>
        <w:t>业态</w:t>
      </w:r>
      <w:r>
        <w:rPr>
          <w:rFonts w:hint="eastAsia" w:ascii="仿宋" w:hAnsi="仿宋" w:eastAsia="仿宋"/>
          <w:sz w:val="32"/>
          <w:szCs w:val="32"/>
          <w:lang w:eastAsia="zh-CN"/>
        </w:rPr>
        <w:t>的</w:t>
      </w:r>
      <w:r>
        <w:rPr>
          <w:rFonts w:hint="eastAsia" w:ascii="仿宋" w:hAnsi="仿宋" w:eastAsia="仿宋"/>
          <w:sz w:val="32"/>
          <w:szCs w:val="32"/>
        </w:rPr>
        <w:t>多样性，</w:t>
      </w:r>
      <w:r>
        <w:rPr>
          <w:rFonts w:hint="eastAsia" w:ascii="仿宋" w:hAnsi="仿宋" w:eastAsia="仿宋"/>
          <w:sz w:val="32"/>
          <w:szCs w:val="32"/>
          <w:lang w:val="en-US" w:eastAsia="zh-CN"/>
        </w:rPr>
        <w:t>为客户提供便捷服务，</w:t>
      </w:r>
      <w:r>
        <w:rPr>
          <w:rFonts w:hint="eastAsia" w:ascii="仿宋" w:hAnsi="仿宋" w:eastAsia="仿宋"/>
          <w:sz w:val="32"/>
          <w:szCs w:val="32"/>
          <w:highlight w:val="none"/>
          <w:lang w:val="en-US" w:eastAsia="zh-CN"/>
        </w:rPr>
        <w:t>计划通过公开询价方式征集</w:t>
      </w:r>
      <w:r>
        <w:rPr>
          <w:rFonts w:hint="eastAsia" w:ascii="仿宋" w:hAnsi="仿宋" w:eastAsia="仿宋"/>
          <w:sz w:val="32"/>
          <w:szCs w:val="32"/>
          <w:lang w:val="en-US" w:eastAsia="zh-CN"/>
        </w:rPr>
        <w:t>游船航线自助售货机设备合作方。</w:t>
      </w:r>
      <w:r>
        <w:rPr>
          <w:rFonts w:hint="eastAsia" w:ascii="仿宋" w:hAnsi="仿宋" w:eastAsia="仿宋"/>
          <w:sz w:val="32"/>
          <w:szCs w:val="32"/>
          <w:highlight w:val="none"/>
          <w:lang w:val="en-US" w:eastAsia="zh-CN"/>
        </w:rPr>
        <w:t>本次合作项目拟提供7个自助售货机设备的场地用于经营。</w:t>
      </w:r>
    </w:p>
    <w:p w14:paraId="5A4A75F5">
      <w:pPr>
        <w:keepNext w:val="0"/>
        <w:keepLines w:val="0"/>
        <w:pageBreakBefore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二、项目基本情况</w:t>
      </w:r>
    </w:p>
    <w:p w14:paraId="6FA28977">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（一）项目名称：游船航线自助售货机设备合作项目</w:t>
      </w:r>
    </w:p>
    <w:p w14:paraId="2A5DE18B">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（二）项目位置：</w:t>
      </w:r>
      <w:r>
        <w:rPr>
          <w:rFonts w:hint="eastAsia" w:ascii="仿宋" w:hAnsi="仿宋" w:eastAsia="仿宋" w:cs="仿宋"/>
          <w:sz w:val="32"/>
          <w:szCs w:val="32"/>
          <w:lang w:val="en-US" w:eastAsia="zh-CN"/>
        </w:rPr>
        <w:t>晋安河</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码头、西水关</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码头、黎明湖</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码头、南公园</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码头、琴亭湖</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码头、流花溪</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码头、龙舟渡</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码头（共计7处场地，每处场地投放一台自助售货机设备）</w:t>
      </w:r>
    </w:p>
    <w:p w14:paraId="380DF34C">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yellow"/>
          <w:lang w:val="en-US" w:eastAsia="zh-CN"/>
        </w:rPr>
      </w:pPr>
      <w:r>
        <w:rPr>
          <w:rFonts w:hint="eastAsia" w:ascii="仿宋" w:hAnsi="仿宋" w:eastAsia="仿宋" w:cs="Times New Roman"/>
          <w:sz w:val="32"/>
          <w:szCs w:val="32"/>
          <w:highlight w:val="none"/>
          <w:lang w:val="en-US" w:eastAsia="zh-CN"/>
        </w:rPr>
        <w:t>（三）合作形式：</w:t>
      </w:r>
      <w:commentRangeStart w:id="0"/>
      <w:r>
        <w:rPr>
          <w:rFonts w:hint="eastAsia" w:ascii="仿宋" w:hAnsi="仿宋" w:eastAsia="仿宋" w:cs="仿宋"/>
          <w:color w:val="000000"/>
          <w:sz w:val="32"/>
          <w:szCs w:val="32"/>
          <w:lang w:val="en-US" w:eastAsia="zh-CN"/>
        </w:rPr>
        <w:t>我司收取保底收益300元/</w:t>
      </w:r>
      <w:bookmarkStart w:id="1" w:name="OLE_LINK4"/>
      <w:r>
        <w:rPr>
          <w:rFonts w:hint="eastAsia" w:ascii="仿宋" w:hAnsi="仿宋" w:eastAsia="仿宋" w:cs="仿宋"/>
          <w:color w:val="000000"/>
          <w:sz w:val="32"/>
          <w:szCs w:val="32"/>
          <w:lang w:val="en-US" w:eastAsia="zh-CN"/>
        </w:rPr>
        <w:t>（处·月）</w:t>
      </w:r>
      <w:bookmarkEnd w:id="1"/>
      <w:r>
        <w:rPr>
          <w:rFonts w:hint="eastAsia" w:ascii="仿宋" w:hAnsi="仿宋" w:eastAsia="仿宋" w:cs="仿宋"/>
          <w:color w:val="000000"/>
          <w:sz w:val="32"/>
          <w:szCs w:val="32"/>
          <w:lang w:val="en-US" w:eastAsia="zh-CN"/>
        </w:rPr>
        <w:t>，共计2100元/月（以7处投放点计）</w:t>
      </w:r>
      <w:commentRangeEnd w:id="0"/>
      <w:r>
        <w:commentReference w:id="0"/>
      </w:r>
      <w:r>
        <w:rPr>
          <w:rFonts w:hint="eastAsia" w:ascii="仿宋" w:hAnsi="仿宋" w:eastAsia="仿宋" w:cs="仿宋"/>
          <w:color w:val="000000"/>
          <w:sz w:val="32"/>
          <w:szCs w:val="32"/>
          <w:lang w:val="en-US" w:eastAsia="zh-CN"/>
        </w:rPr>
        <w:t>，并收取所投放设备当月营业额分成比例。</w:t>
      </w:r>
    </w:p>
    <w:p w14:paraId="2B8513B1">
      <w:pPr>
        <w:pStyle w:val="8"/>
        <w:spacing w:line="560" w:lineRule="exact"/>
        <w:ind w:firstLine="482"/>
        <w:jc w:val="both"/>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（四）合作期限：5年，自合作合同签订之日起算。</w:t>
      </w:r>
      <w:commentRangeStart w:id="1"/>
      <w:r>
        <w:rPr>
          <w:rFonts w:hint="eastAsia" w:ascii="仿宋" w:hAnsi="仿宋" w:eastAsia="仿宋" w:cs="仿宋"/>
          <w:color w:val="000000"/>
          <w:sz w:val="32"/>
          <w:szCs w:val="32"/>
          <w:lang w:val="en-US" w:eastAsia="zh-CN"/>
        </w:rPr>
        <w:t>（合同签订五年，合作期满3年前一个月进行一次考核，通过考核后继续履行后2年合作合同</w:t>
      </w:r>
      <w:r>
        <w:rPr>
          <w:rFonts w:hint="eastAsia" w:ascii="仿宋" w:hAnsi="仿宋" w:eastAsia="仿宋" w:cs="仿宋"/>
          <w:color w:val="000000"/>
          <w:sz w:val="32"/>
          <w:szCs w:val="32"/>
        </w:rPr>
        <w:t>；若考核不通过，合同自动终止，双方执行合同解除相关程序。</w:t>
      </w:r>
      <w:r>
        <w:rPr>
          <w:rFonts w:hint="eastAsia" w:ascii="仿宋" w:hAnsi="仿宋" w:eastAsia="仿宋" w:cs="仿宋"/>
          <w:color w:val="000000"/>
          <w:sz w:val="32"/>
          <w:szCs w:val="32"/>
          <w:lang w:val="en-US" w:eastAsia="zh-CN"/>
        </w:rPr>
        <w:t>）</w:t>
      </w:r>
      <w:commentRangeEnd w:id="1"/>
      <w:r>
        <w:commentReference w:id="1"/>
      </w:r>
    </w:p>
    <w:p w14:paraId="2C9996CC">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（五）具体合作内容</w:t>
      </w:r>
    </w:p>
    <w:p w14:paraId="78F93AB4">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commentRangeStart w:id="2"/>
      <w:r>
        <w:rPr>
          <w:rFonts w:hint="eastAsia" w:ascii="仿宋" w:hAnsi="仿宋" w:eastAsia="仿宋" w:cs="Times New Roman"/>
          <w:sz w:val="32"/>
          <w:szCs w:val="32"/>
          <w:highlight w:val="none"/>
          <w:lang w:val="en-US" w:eastAsia="zh-CN"/>
        </w:rPr>
        <w:t>1.福州市水务文化旅游有限公司提供7个</w:t>
      </w:r>
      <w:r>
        <w:rPr>
          <w:rFonts w:hint="eastAsia" w:ascii="仿宋" w:hAnsi="仿宋" w:eastAsia="仿宋" w:cs="仿宋"/>
          <w:b w:val="0"/>
          <w:bCs w:val="0"/>
          <w:sz w:val="32"/>
          <w:szCs w:val="32"/>
          <w:lang w:val="en-US" w:eastAsia="zh-CN"/>
        </w:rPr>
        <w:t>游船航线自助售货机设备</w:t>
      </w:r>
      <w:r>
        <w:rPr>
          <w:rFonts w:hint="eastAsia" w:ascii="仿宋" w:hAnsi="仿宋" w:eastAsia="仿宋" w:cs="Times New Roman"/>
          <w:sz w:val="32"/>
          <w:szCs w:val="32"/>
          <w:highlight w:val="none"/>
          <w:lang w:val="en-US" w:eastAsia="zh-CN"/>
        </w:rPr>
        <w:t>场地，并承担用电费用。场地已具备通电状态，按现状移交；</w:t>
      </w:r>
      <w:commentRangeEnd w:id="2"/>
      <w:r>
        <w:commentReference w:id="2"/>
      </w:r>
    </w:p>
    <w:p w14:paraId="1BFDDA72">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2.合作单位负责</w:t>
      </w:r>
      <w:r>
        <w:rPr>
          <w:rFonts w:hint="eastAsia" w:ascii="仿宋" w:hAnsi="仿宋" w:eastAsia="仿宋" w:cs="仿宋"/>
          <w:b w:val="0"/>
          <w:bCs w:val="0"/>
          <w:sz w:val="32"/>
          <w:szCs w:val="32"/>
          <w:lang w:val="en-US" w:eastAsia="zh-CN"/>
        </w:rPr>
        <w:t>游船航线自助售货机设备</w:t>
      </w:r>
      <w:r>
        <w:rPr>
          <w:rFonts w:hint="eastAsia" w:ascii="仿宋" w:hAnsi="仿宋" w:eastAsia="仿宋" w:cs="Times New Roman"/>
          <w:sz w:val="32"/>
          <w:szCs w:val="32"/>
          <w:highlight w:val="none"/>
          <w:lang w:val="en-US" w:eastAsia="zh-CN"/>
        </w:rPr>
        <w:t>的日常管理和维护，包括检测、维修等，包括但不限于：</w:t>
      </w:r>
    </w:p>
    <w:p w14:paraId="52C556E3">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commentRangeStart w:id="3"/>
      <w:r>
        <w:rPr>
          <w:rFonts w:hint="eastAsia" w:ascii="仿宋" w:hAnsi="仿宋" w:eastAsia="仿宋" w:cs="Times New Roman"/>
          <w:sz w:val="32"/>
          <w:szCs w:val="32"/>
          <w:highlight w:val="none"/>
          <w:lang w:val="en-US" w:eastAsia="zh-CN"/>
        </w:rPr>
        <w:t>（1）负责提供</w:t>
      </w:r>
      <w:r>
        <w:rPr>
          <w:rFonts w:hint="eastAsia" w:ascii="仿宋" w:hAnsi="仿宋" w:eastAsia="仿宋" w:cs="仿宋"/>
          <w:b w:val="0"/>
          <w:bCs w:val="0"/>
          <w:sz w:val="32"/>
          <w:szCs w:val="32"/>
          <w:lang w:val="en-US" w:eastAsia="zh-CN"/>
        </w:rPr>
        <w:t>自助售货机设备</w:t>
      </w:r>
      <w:r>
        <w:rPr>
          <w:rFonts w:hint="eastAsia" w:ascii="仿宋" w:hAnsi="仿宋" w:eastAsia="仿宋" w:cs="Times New Roman"/>
          <w:sz w:val="32"/>
          <w:szCs w:val="32"/>
          <w:highlight w:val="none"/>
          <w:lang w:val="en-US" w:eastAsia="zh-CN"/>
        </w:rPr>
        <w:t>（如饮料机等）</w:t>
      </w:r>
      <w:commentRangeEnd w:id="3"/>
      <w:r>
        <w:commentReference w:id="3"/>
      </w:r>
      <w:r>
        <w:rPr>
          <w:rFonts w:hint="eastAsia" w:ascii="仿宋" w:hAnsi="仿宋" w:eastAsia="仿宋" w:cs="Times New Roman"/>
          <w:sz w:val="32"/>
          <w:szCs w:val="32"/>
          <w:highlight w:val="none"/>
          <w:lang w:val="en-US" w:eastAsia="zh-CN"/>
        </w:rPr>
        <w:t>、销售货品及宣传等经营所需的一切物料的准备，需提供造型统一协调的</w:t>
      </w:r>
      <w:r>
        <w:rPr>
          <w:rFonts w:hint="eastAsia" w:ascii="仿宋" w:hAnsi="仿宋" w:eastAsia="仿宋" w:cs="仿宋"/>
          <w:b w:val="0"/>
          <w:bCs w:val="0"/>
          <w:sz w:val="32"/>
          <w:szCs w:val="32"/>
          <w:lang w:val="en-US" w:eastAsia="zh-CN"/>
        </w:rPr>
        <w:t>自助售货机设备</w:t>
      </w:r>
      <w:r>
        <w:rPr>
          <w:rFonts w:hint="eastAsia" w:ascii="仿宋" w:hAnsi="仿宋" w:eastAsia="仿宋" w:cs="Times New Roman"/>
          <w:sz w:val="32"/>
          <w:szCs w:val="32"/>
          <w:highlight w:val="none"/>
          <w:lang w:val="en-US" w:eastAsia="zh-CN"/>
        </w:rPr>
        <w:t>，设备造型及布置方案需提前报备我司审核通过。</w:t>
      </w:r>
    </w:p>
    <w:p w14:paraId="7C008A1D">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2）负责在开业前办齐相关工商、公安、税务、卫生等各种证照，根据相关适用法律的约定，自行负责各项行政报审，自行负责取得开展经营所需的一切资质、证照或批准，并在合作期间持续具备相关资质、证照或批准。</w:t>
      </w:r>
    </w:p>
    <w:p w14:paraId="3FE4CE5B">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（3）负责自助售货机的日常经营管理工作，同时应做好经营区域卫生、安全管理、消防管理等，确保环境整洁、美观、舒适，提供的服务质量符合要求，该部分费用由合作单位自行负责。</w:t>
      </w:r>
      <w:commentRangeStart w:id="4"/>
      <w:r>
        <w:rPr>
          <w:rFonts w:hint="eastAsia" w:ascii="仿宋" w:hAnsi="仿宋" w:eastAsia="仿宋" w:cs="Times New Roman"/>
          <w:sz w:val="32"/>
          <w:szCs w:val="32"/>
          <w:highlight w:val="none"/>
          <w:lang w:val="en-US" w:eastAsia="zh-CN"/>
        </w:rPr>
        <w:t>若合作单位未按要求完成，我司有权要求合作单位按照200元/次支付违约金，相关费用从履约保证金中扣除。</w:t>
      </w:r>
      <w:commentRangeEnd w:id="4"/>
      <w:r>
        <w:commentReference w:id="4"/>
      </w:r>
    </w:p>
    <w:p w14:paraId="5FFA95D0">
      <w:pPr>
        <w:keepNext w:val="0"/>
        <w:keepLines w:val="0"/>
        <w:pageBreakBefore w:val="0"/>
        <w:kinsoku/>
        <w:wordWrap/>
        <w:overflowPunct/>
        <w:topLinePunct w:val="0"/>
        <w:autoSpaceDE/>
        <w:autoSpaceDN/>
        <w:bidi w:val="0"/>
        <w:adjustRightInd/>
        <w:snapToGrid/>
        <w:ind w:firstLine="640" w:firstLineChars="200"/>
        <w:textAlignment w:val="auto"/>
      </w:pPr>
      <w:commentRangeStart w:id="5"/>
      <w:r>
        <w:rPr>
          <w:rFonts w:hint="eastAsia" w:ascii="仿宋" w:hAnsi="仿宋" w:eastAsia="仿宋" w:cs="Times New Roman"/>
          <w:sz w:val="32"/>
          <w:szCs w:val="32"/>
          <w:highlight w:val="none"/>
          <w:lang w:val="en-US" w:eastAsia="zh-CN"/>
        </w:rPr>
        <w:t>（4）</w:t>
      </w:r>
      <w:r>
        <w:rPr>
          <w:rFonts w:hint="eastAsia" w:ascii="仿宋" w:hAnsi="仿宋" w:eastAsia="仿宋" w:cs="Times New Roman"/>
          <w:sz w:val="32"/>
          <w:szCs w:val="32"/>
          <w:highlight w:val="none"/>
        </w:rPr>
        <w:t>因</w:t>
      </w:r>
      <w:r>
        <w:rPr>
          <w:rFonts w:hint="eastAsia" w:ascii="仿宋" w:hAnsi="仿宋" w:eastAsia="仿宋" w:cs="Times New Roman"/>
          <w:sz w:val="32"/>
          <w:szCs w:val="32"/>
          <w:highlight w:val="none"/>
          <w:lang w:val="en-US" w:eastAsia="zh-CN"/>
        </w:rPr>
        <w:t>合作单位</w:t>
      </w:r>
      <w:r>
        <w:rPr>
          <w:rFonts w:hint="eastAsia" w:ascii="仿宋" w:hAnsi="仿宋" w:eastAsia="仿宋" w:cs="Times New Roman"/>
          <w:sz w:val="32"/>
          <w:szCs w:val="32"/>
          <w:highlight w:val="none"/>
        </w:rPr>
        <w:t>提供的</w:t>
      </w:r>
      <w:r>
        <w:rPr>
          <w:rFonts w:hint="eastAsia" w:ascii="仿宋" w:hAnsi="仿宋" w:eastAsia="仿宋" w:cs="Times New Roman"/>
          <w:sz w:val="32"/>
          <w:szCs w:val="32"/>
          <w:highlight w:val="none"/>
          <w:lang w:val="en-US" w:eastAsia="zh-CN"/>
        </w:rPr>
        <w:t>食品</w:t>
      </w:r>
      <w:r>
        <w:rPr>
          <w:rFonts w:hint="eastAsia" w:ascii="仿宋" w:hAnsi="仿宋" w:eastAsia="仿宋" w:cs="Times New Roman"/>
          <w:sz w:val="32"/>
          <w:szCs w:val="32"/>
          <w:highlight w:val="none"/>
        </w:rPr>
        <w:t>的产品质量问题给</w:t>
      </w:r>
      <w:r>
        <w:rPr>
          <w:rFonts w:hint="eastAsia" w:ascii="仿宋" w:hAnsi="仿宋" w:eastAsia="仿宋" w:cs="Times New Roman"/>
          <w:sz w:val="32"/>
          <w:szCs w:val="32"/>
          <w:highlight w:val="none"/>
          <w:lang w:val="en-US" w:eastAsia="zh-CN"/>
        </w:rPr>
        <w:t>我司</w:t>
      </w:r>
      <w:r>
        <w:rPr>
          <w:rFonts w:hint="eastAsia" w:ascii="仿宋" w:hAnsi="仿宋" w:eastAsia="仿宋" w:cs="Times New Roman"/>
          <w:sz w:val="32"/>
          <w:szCs w:val="32"/>
          <w:highlight w:val="none"/>
        </w:rPr>
        <w:t>或第三人造成人身、财产损失的，</w:t>
      </w:r>
      <w:r>
        <w:rPr>
          <w:rFonts w:hint="eastAsia" w:ascii="仿宋" w:hAnsi="仿宋" w:eastAsia="仿宋" w:cs="Times New Roman"/>
          <w:sz w:val="32"/>
          <w:szCs w:val="32"/>
          <w:highlight w:val="none"/>
          <w:lang w:val="en-US" w:eastAsia="zh-CN"/>
        </w:rPr>
        <w:t>合作单位</w:t>
      </w:r>
      <w:r>
        <w:rPr>
          <w:rFonts w:hint="eastAsia" w:ascii="仿宋" w:hAnsi="仿宋" w:eastAsia="仿宋" w:cs="Times New Roman"/>
          <w:sz w:val="32"/>
          <w:szCs w:val="32"/>
          <w:highlight w:val="none"/>
        </w:rPr>
        <w:t>应负全部赔偿责任，若给</w:t>
      </w:r>
      <w:r>
        <w:rPr>
          <w:rFonts w:hint="eastAsia" w:ascii="仿宋" w:hAnsi="仿宋" w:eastAsia="仿宋" w:cs="Times New Roman"/>
          <w:sz w:val="32"/>
          <w:szCs w:val="32"/>
          <w:highlight w:val="none"/>
          <w:lang w:val="en-US" w:eastAsia="zh-CN"/>
        </w:rPr>
        <w:t>我司</w:t>
      </w:r>
      <w:r>
        <w:rPr>
          <w:rFonts w:hint="eastAsia" w:ascii="仿宋" w:hAnsi="仿宋" w:eastAsia="仿宋" w:cs="Times New Roman"/>
          <w:sz w:val="32"/>
          <w:szCs w:val="32"/>
          <w:highlight w:val="none"/>
        </w:rPr>
        <w:t>造成损失，</w:t>
      </w:r>
      <w:r>
        <w:rPr>
          <w:rFonts w:hint="eastAsia" w:ascii="仿宋" w:hAnsi="仿宋" w:eastAsia="仿宋" w:cs="Times New Roman"/>
          <w:sz w:val="32"/>
          <w:szCs w:val="32"/>
          <w:highlight w:val="none"/>
          <w:lang w:val="en-US" w:eastAsia="zh-CN"/>
        </w:rPr>
        <w:t>合作单位</w:t>
      </w:r>
      <w:r>
        <w:rPr>
          <w:rFonts w:hint="eastAsia" w:ascii="仿宋" w:hAnsi="仿宋" w:eastAsia="仿宋" w:cs="Times New Roman"/>
          <w:sz w:val="32"/>
          <w:szCs w:val="32"/>
          <w:highlight w:val="none"/>
        </w:rPr>
        <w:t>应当赔偿给</w:t>
      </w:r>
      <w:r>
        <w:rPr>
          <w:rFonts w:hint="eastAsia" w:ascii="仿宋" w:hAnsi="仿宋" w:eastAsia="仿宋" w:cs="Times New Roman"/>
          <w:sz w:val="32"/>
          <w:szCs w:val="32"/>
          <w:highlight w:val="none"/>
          <w:lang w:val="en-US" w:eastAsia="zh-CN"/>
        </w:rPr>
        <w:t>我司</w:t>
      </w:r>
      <w:r>
        <w:rPr>
          <w:rFonts w:hint="eastAsia" w:ascii="仿宋" w:hAnsi="仿宋" w:eastAsia="仿宋" w:cs="Times New Roman"/>
          <w:sz w:val="32"/>
          <w:szCs w:val="32"/>
          <w:highlight w:val="none"/>
        </w:rPr>
        <w:t>造成的全部损失；因</w:t>
      </w:r>
      <w:r>
        <w:rPr>
          <w:rFonts w:hint="eastAsia" w:ascii="仿宋" w:hAnsi="仿宋" w:eastAsia="仿宋" w:cs="Times New Roman"/>
          <w:sz w:val="32"/>
          <w:szCs w:val="32"/>
          <w:highlight w:val="none"/>
          <w:lang w:val="en-US" w:eastAsia="zh-CN"/>
        </w:rPr>
        <w:t>合作单位食品</w:t>
      </w:r>
      <w:r>
        <w:rPr>
          <w:rFonts w:hint="eastAsia" w:ascii="仿宋" w:hAnsi="仿宋" w:eastAsia="仿宋" w:cs="Times New Roman"/>
          <w:sz w:val="32"/>
          <w:szCs w:val="32"/>
          <w:highlight w:val="none"/>
        </w:rPr>
        <w:t>质量等原因导致第三人向</w:t>
      </w:r>
      <w:r>
        <w:rPr>
          <w:rFonts w:hint="eastAsia" w:ascii="仿宋" w:hAnsi="仿宋" w:eastAsia="仿宋" w:cs="Times New Roman"/>
          <w:sz w:val="32"/>
          <w:szCs w:val="32"/>
          <w:highlight w:val="none"/>
          <w:lang w:val="en-US" w:eastAsia="zh-CN"/>
        </w:rPr>
        <w:t>我司</w:t>
      </w:r>
      <w:r>
        <w:rPr>
          <w:rFonts w:hint="eastAsia" w:ascii="仿宋" w:hAnsi="仿宋" w:eastAsia="仿宋" w:cs="Times New Roman"/>
          <w:sz w:val="32"/>
          <w:szCs w:val="32"/>
          <w:highlight w:val="none"/>
        </w:rPr>
        <w:t>索赔的，因此产生的所有费用由</w:t>
      </w:r>
      <w:r>
        <w:rPr>
          <w:rFonts w:hint="eastAsia" w:ascii="仿宋" w:hAnsi="仿宋" w:eastAsia="仿宋" w:cs="Times New Roman"/>
          <w:sz w:val="32"/>
          <w:szCs w:val="32"/>
          <w:highlight w:val="none"/>
          <w:lang w:eastAsia="zh-CN"/>
        </w:rPr>
        <w:t>合作单位</w:t>
      </w:r>
      <w:r>
        <w:rPr>
          <w:rFonts w:hint="eastAsia" w:ascii="仿宋" w:hAnsi="仿宋" w:eastAsia="仿宋" w:cs="Times New Roman"/>
          <w:sz w:val="32"/>
          <w:szCs w:val="32"/>
          <w:highlight w:val="none"/>
        </w:rPr>
        <w:t>承担（包括但不限于索赔金、诉讼费/仲裁费、律师费、鉴定费、交通费、保全费、财产保全费）。</w:t>
      </w:r>
      <w:commentRangeEnd w:id="5"/>
      <w:r>
        <w:commentReference w:id="5"/>
      </w:r>
    </w:p>
    <w:p w14:paraId="799EA0C2">
      <w:pPr>
        <w:widowControl/>
        <w:numPr>
          <w:ilvl w:val="0"/>
          <w:numId w:val="0"/>
        </w:numPr>
        <w:ind w:firstLine="640" w:firstLineChars="200"/>
        <w:jc w:val="left"/>
        <w:rPr>
          <w:rFonts w:hint="eastAsia" w:ascii="仿宋" w:hAnsi="仿宋" w:eastAsia="仿宋" w:cs="Times New Roman"/>
          <w:sz w:val="32"/>
          <w:szCs w:val="32"/>
          <w:highlight w:val="none"/>
          <w:u w:val="none"/>
        </w:rPr>
      </w:pPr>
      <w:r>
        <w:rPr>
          <w:rFonts w:hint="eastAsia" w:ascii="仿宋" w:hAnsi="仿宋" w:eastAsia="仿宋" w:cs="Times New Roman"/>
          <w:sz w:val="32"/>
          <w:szCs w:val="32"/>
          <w:highlight w:val="none"/>
          <w:u w:val="none"/>
          <w:lang w:val="en-US" w:eastAsia="zh-CN"/>
        </w:rPr>
        <w:t>（5）合作单位应提供符合食品</w:t>
      </w:r>
      <w:r>
        <w:rPr>
          <w:rFonts w:hint="eastAsia" w:ascii="仿宋" w:hAnsi="仿宋" w:eastAsia="仿宋" w:cs="Times New Roman"/>
          <w:sz w:val="32"/>
          <w:szCs w:val="32"/>
          <w:highlight w:val="none"/>
          <w:u w:val="none"/>
        </w:rPr>
        <w:t>必须严格遵守有关法规及标准，保障消费者的安全和健康。</w:t>
      </w:r>
      <w:r>
        <w:rPr>
          <w:rFonts w:hint="eastAsia" w:ascii="仿宋" w:hAnsi="仿宋" w:eastAsia="仿宋" w:cs="Times New Roman"/>
          <w:sz w:val="32"/>
          <w:szCs w:val="32"/>
          <w:highlight w:val="none"/>
          <w:u w:val="none"/>
          <w:lang w:val="en-US" w:eastAsia="zh-CN"/>
        </w:rPr>
        <w:t>包括但不限于：符合食用有效期内、可溯源食品来源渠道等。</w:t>
      </w:r>
      <w:r>
        <w:rPr>
          <w:rFonts w:hint="eastAsia" w:ascii="仿宋" w:hAnsi="仿宋" w:eastAsia="仿宋" w:cs="Times New Roman"/>
          <w:sz w:val="32"/>
          <w:szCs w:val="32"/>
          <w:highlight w:val="none"/>
          <w:u w:val="none"/>
        </w:rPr>
        <w:t>若出现食品安全问题</w:t>
      </w:r>
      <w:r>
        <w:rPr>
          <w:rFonts w:hint="eastAsia" w:ascii="仿宋" w:hAnsi="仿宋" w:eastAsia="仿宋" w:cs="Times New Roman"/>
          <w:sz w:val="32"/>
          <w:szCs w:val="32"/>
          <w:highlight w:val="none"/>
          <w:u w:val="none"/>
          <w:lang w:eastAsia="zh-CN"/>
        </w:rPr>
        <w:t>我司</w:t>
      </w:r>
      <w:r>
        <w:rPr>
          <w:rFonts w:hint="eastAsia" w:ascii="仿宋" w:hAnsi="仿宋" w:eastAsia="仿宋" w:cs="Times New Roman"/>
          <w:sz w:val="32"/>
          <w:szCs w:val="32"/>
          <w:highlight w:val="none"/>
          <w:u w:val="none"/>
        </w:rPr>
        <w:t>有权解除合同没收履约保证金，并要求</w:t>
      </w:r>
      <w:r>
        <w:rPr>
          <w:rFonts w:hint="eastAsia" w:ascii="仿宋" w:hAnsi="仿宋" w:eastAsia="仿宋" w:cs="Times New Roman"/>
          <w:sz w:val="32"/>
          <w:szCs w:val="32"/>
          <w:highlight w:val="none"/>
          <w:u w:val="none"/>
          <w:lang w:eastAsia="zh-CN"/>
        </w:rPr>
        <w:t>合作单位</w:t>
      </w:r>
      <w:r>
        <w:rPr>
          <w:rFonts w:hint="eastAsia" w:ascii="仿宋" w:hAnsi="仿宋" w:eastAsia="仿宋" w:cs="Times New Roman"/>
          <w:sz w:val="32"/>
          <w:szCs w:val="32"/>
          <w:highlight w:val="none"/>
          <w:u w:val="none"/>
        </w:rPr>
        <w:t>赔偿由此给</w:t>
      </w:r>
      <w:r>
        <w:rPr>
          <w:rFonts w:hint="eastAsia" w:ascii="仿宋" w:hAnsi="仿宋" w:eastAsia="仿宋" w:cs="Times New Roman"/>
          <w:sz w:val="32"/>
          <w:szCs w:val="32"/>
          <w:highlight w:val="none"/>
          <w:u w:val="none"/>
          <w:lang w:eastAsia="zh-CN"/>
        </w:rPr>
        <w:t>我司</w:t>
      </w:r>
      <w:r>
        <w:rPr>
          <w:rFonts w:hint="eastAsia" w:ascii="仿宋" w:hAnsi="仿宋" w:eastAsia="仿宋" w:cs="Times New Roman"/>
          <w:sz w:val="32"/>
          <w:szCs w:val="32"/>
          <w:highlight w:val="none"/>
          <w:u w:val="none"/>
        </w:rPr>
        <w:t>造成的损失。</w:t>
      </w:r>
    </w:p>
    <w:p w14:paraId="42A698C0">
      <w:pPr>
        <w:ind w:firstLine="640" w:firstLineChars="200"/>
        <w:rPr>
          <w:rFonts w:hint="default"/>
          <w:lang w:val="en-US" w:eastAsia="zh-CN"/>
        </w:rPr>
      </w:pPr>
      <w:r>
        <w:rPr>
          <w:rFonts w:hint="eastAsia" w:ascii="仿宋" w:hAnsi="仿宋" w:eastAsia="仿宋" w:cs="Times New Roman"/>
          <w:sz w:val="32"/>
          <w:szCs w:val="32"/>
          <w:highlight w:val="none"/>
          <w:lang w:val="en-US" w:eastAsia="zh-CN"/>
        </w:rPr>
        <w:t>（6）负责提供优质的自助售货机，保证设备无质量问题，必须严格遵守有关法规及标准，保障消费者的安全和健康。</w:t>
      </w:r>
    </w:p>
    <w:p w14:paraId="2029E72D">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（7）售货机因故障或其他原因造成不能使用的，合</w:t>
      </w:r>
      <w:bookmarkStart w:id="2" w:name="OLE_LINK3"/>
      <w:r>
        <w:rPr>
          <w:rFonts w:hint="eastAsia" w:ascii="仿宋" w:hAnsi="仿宋" w:eastAsia="仿宋" w:cs="Times New Roman"/>
          <w:sz w:val="32"/>
          <w:szCs w:val="32"/>
          <w:highlight w:val="none"/>
          <w:lang w:val="en-US" w:eastAsia="zh-CN"/>
        </w:rPr>
        <w:t>作单位</w:t>
      </w:r>
      <w:bookmarkEnd w:id="2"/>
      <w:r>
        <w:rPr>
          <w:rFonts w:hint="eastAsia" w:ascii="仿宋" w:hAnsi="仿宋" w:eastAsia="仿宋" w:cs="Times New Roman"/>
          <w:sz w:val="32"/>
          <w:szCs w:val="32"/>
          <w:highlight w:val="none"/>
          <w:lang w:val="en-US" w:eastAsia="zh-CN"/>
        </w:rPr>
        <w:t>接到我司通知后48小时内委派技术人员到达并对故障进行排除，经维护不能恢复正常使用，合作单位须在一周内（节假日顺延）予以更换正常机器。</w:t>
      </w:r>
    </w:p>
    <w:p w14:paraId="2ADFD9BF">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8）合作单位应与其安排进场对售货机进行日常管理及维护的人员签订劳动合同或劳务协议或服务合同，保证建立合法的关系。我司不因本项目及对合作单位指派的人员实施现场监管而与其建立任何关系，也不因此代合作单位对其人员承担任何责任。在项目履行过程中，合作单位与其上述人员之间出现的争议，由合作单位自行处理并承担全部责任。</w:t>
      </w:r>
    </w:p>
    <w:p w14:paraId="71E3DBAA">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9）合作单位应负责做好日常管理及维护的人员的安全培训和安全保障工作，合作单位应为日常管理及维护的人员提供安全防护设备、工具，确保其作业过程中人身安全，日常管理及维护的人员在工作期间发生任何意外或伤亡事故，由合作单位负责处理并承担全部责任。对于因合作单位及合作单位工作人员原因引发的安全事故、人员伤亡，或者造成第三方的人员伤亡、财产损失的，由合作单位承担全部费用。如因此给我司造成损失的，合作单位应承担全部赔偿责任，如我司遭受上述人员或第三人索赔的，因此产生的所有费用由合作单位承担（包括但不限于索赔金、诉讼费/仲裁费、律师费、鉴定费、交通费、保全费、财产保全费）。</w:t>
      </w:r>
    </w:p>
    <w:p w14:paraId="405EE319">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（10）保证服务人员符合国家相关要求，若出现游客投诉的情况，或出现反复投诉问题，合作单位按照200元/次支付违约金，相关费用从履约保证金中扣除。</w:t>
      </w:r>
    </w:p>
    <w:p w14:paraId="7C83C7E4">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（11）需配合福州市水务文化旅游有限公司园区的经营活动，合作期间，</w:t>
      </w:r>
      <w:commentRangeStart w:id="6"/>
      <w:r>
        <w:rPr>
          <w:rFonts w:hint="eastAsia" w:ascii="仿宋" w:hAnsi="仿宋" w:eastAsia="仿宋" w:cs="Times New Roman"/>
          <w:sz w:val="32"/>
          <w:szCs w:val="32"/>
          <w:highlight w:val="none"/>
          <w:lang w:val="en-US" w:eastAsia="zh-CN"/>
        </w:rPr>
        <w:t>未经我司允许不得擅自拓展产品及场地经营范围</w:t>
      </w:r>
      <w:commentRangeEnd w:id="6"/>
      <w:r>
        <w:commentReference w:id="6"/>
      </w:r>
      <w:r>
        <w:rPr>
          <w:rFonts w:hint="eastAsia" w:ascii="仿宋" w:hAnsi="仿宋" w:eastAsia="仿宋" w:cs="Times New Roman"/>
          <w:sz w:val="32"/>
          <w:szCs w:val="32"/>
          <w:highlight w:val="none"/>
          <w:lang w:val="en-US" w:eastAsia="zh-CN"/>
        </w:rPr>
        <w:t>。遵守国家相关法律法规及我司管理制度，确保经营活动的合法性和规范性。</w:t>
      </w:r>
    </w:p>
    <w:p w14:paraId="7339E3DD">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（12）因合作单位运营使用不当导致我司的基建设施设备等损坏需要维修的由合作单位全部承担。</w:t>
      </w:r>
    </w:p>
    <w:p w14:paraId="479E4C45">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13）如因政府需要对该场地或设备进行拆除和改造等，或因不可抗力、土地被收储、企业改制、法律法规政策调整造成本项目不能继续履行，我司有权单方面提前终止合作并不承担赔偿责任，但需在合理期限内提前通知合作单位。合作单位应自我司递送书面通知之日起无条件配合，合作项目无法继续履行的，双方协商解除合作，除此之外我司不承担合作单位任何损失。</w:t>
      </w:r>
    </w:p>
    <w:p w14:paraId="25B7A98D">
      <w:pPr>
        <w:keepNext w:val="0"/>
        <w:keepLines w:val="0"/>
        <w:pageBreakBefore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lang w:val="en-US" w:eastAsia="zh-CN"/>
        </w:rPr>
      </w:pPr>
      <w:commentRangeStart w:id="7"/>
      <w:r>
        <w:rPr>
          <w:rFonts w:hint="eastAsia" w:ascii="仿宋" w:hAnsi="仿宋" w:eastAsia="仿宋" w:cs="仿宋"/>
          <w:b/>
          <w:bCs/>
          <w:sz w:val="32"/>
          <w:szCs w:val="32"/>
          <w:lang w:val="en-US" w:eastAsia="zh-CN"/>
        </w:rPr>
        <w:t>三、结算方式</w:t>
      </w:r>
      <w:commentRangeEnd w:id="7"/>
      <w:r>
        <w:commentReference w:id="7"/>
      </w:r>
    </w:p>
    <w:p w14:paraId="09023C2A">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（一）营业收入统计方式：</w:t>
      </w:r>
      <w:bookmarkStart w:id="3" w:name="OLE_LINK2"/>
      <w:r>
        <w:rPr>
          <w:rFonts w:hint="eastAsia" w:ascii="仿宋" w:hAnsi="仿宋" w:eastAsia="仿宋" w:cs="Times New Roman"/>
          <w:sz w:val="32"/>
          <w:szCs w:val="32"/>
          <w:highlight w:val="none"/>
          <w:lang w:val="en-US" w:eastAsia="zh-CN"/>
        </w:rPr>
        <w:t>营业收入进入</w:t>
      </w:r>
      <w:commentRangeStart w:id="8"/>
      <w:r>
        <w:rPr>
          <w:rFonts w:hint="eastAsia" w:ascii="仿宋" w:hAnsi="仿宋" w:eastAsia="仿宋" w:cs="Times New Roman"/>
          <w:sz w:val="32"/>
          <w:szCs w:val="32"/>
          <w:highlight w:val="none"/>
          <w:lang w:val="en-US" w:eastAsia="zh-CN"/>
        </w:rPr>
        <w:t>合作单位银行账户。</w:t>
      </w:r>
      <w:commentRangeEnd w:id="8"/>
      <w:r>
        <w:commentReference w:id="8"/>
      </w:r>
    </w:p>
    <w:bookmarkEnd w:id="3"/>
    <w:p w14:paraId="0C055BDC">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二）合作单位需向我司开设后台查询权限，可随时进行查账。每月第5个工作日前双方核对上月度的营业额流水账单，并计算双方可分配收益，经双方确认后，在合作单位收到我司发票后的5个工作日内向我司支付可分配收益及保底收益。</w:t>
      </w:r>
    </w:p>
    <w:p w14:paraId="73006847">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（三）履约保证金</w:t>
      </w:r>
    </w:p>
    <w:p w14:paraId="5C0E50B0">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合作单位应在收到中选通知书后5日内向我司提交履约保证金，金额为7000元。</w:t>
      </w:r>
    </w:p>
    <w:p w14:paraId="603C9F67">
      <w:pPr>
        <w:keepNext w:val="0"/>
        <w:keepLines w:val="0"/>
        <w:pageBreakBefore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四、合作单位报价要求</w:t>
      </w:r>
    </w:p>
    <w:p w14:paraId="493F8508">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（一）本项目以公开的方式于公司官网发布合作公告。</w:t>
      </w:r>
    </w:p>
    <w:p w14:paraId="79D41EAB">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（二）本项目采取无条件响应保底收益，并对分成比例报价方式，合作单位的报价为我司（水务文旅）项目营业额的可收益的分成比例。</w:t>
      </w:r>
    </w:p>
    <w:p w14:paraId="7E57426B">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（三）最终按照我司（水务文旅）分成比例从高到低顺序确定中标单位。</w:t>
      </w:r>
    </w:p>
    <w:p w14:paraId="052499DC">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四）每位合作报名人都必须对该项目实际情况（包括地理位置、基础条件情况、目前经营情况等）做充分了解，确认该标的能够符合自身经营需要。今后，如因合作报名人对实际情况不了解而产生任何纠纷均由报名人自行承担，与我司无关。</w:t>
      </w:r>
    </w:p>
    <w:p w14:paraId="792DD1CE">
      <w:pPr>
        <w:keepNext w:val="0"/>
        <w:keepLines w:val="0"/>
        <w:pageBreakBefore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五、合作单位资格要求</w:t>
      </w:r>
    </w:p>
    <w:p w14:paraId="1600D5B8">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（一）具备履行本项目所必须的设备和专业管理能力，具有良好的商业信用、财务状况、支付能力；</w:t>
      </w:r>
    </w:p>
    <w:p w14:paraId="30B7C7E1">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（二）提供公司营业执照、食品经营许可证、法人身份证复印件、授权委托书（法人无需提供）；</w:t>
      </w:r>
    </w:p>
    <w:p w14:paraId="012C4B7E">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（三）经营范围包括自助售货设备、预包装食品销售等相关资质。</w:t>
      </w:r>
    </w:p>
    <w:p w14:paraId="712F2817">
      <w:pPr>
        <w:keepNext w:val="0"/>
        <w:keepLines w:val="0"/>
        <w:pageBreakBefore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六、项目位置点位图</w:t>
      </w:r>
    </w:p>
    <w:p w14:paraId="267BCF1E">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Times New Roman"/>
          <w:sz w:val="32"/>
          <w:szCs w:val="32"/>
          <w:highlight w:val="none"/>
          <w:lang w:val="en-US" w:eastAsia="zh-CN"/>
        </w:rPr>
        <w:t>（一）</w:t>
      </w:r>
      <w:r>
        <w:rPr>
          <w:rFonts w:hint="eastAsia" w:ascii="仿宋" w:hAnsi="仿宋" w:eastAsia="仿宋" w:cs="仿宋"/>
          <w:sz w:val="32"/>
          <w:szCs w:val="32"/>
          <w:lang w:val="en-US" w:eastAsia="zh-CN"/>
        </w:rPr>
        <w:t>晋安河</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w:t>
      </w:r>
    </w:p>
    <w:p w14:paraId="79940DCB">
      <w:pPr>
        <w:keepNext w:val="0"/>
        <w:keepLines w:val="0"/>
        <w:pageBreakBefore w:val="0"/>
        <w:kinsoku/>
        <w:wordWrap/>
        <w:overflowPunct/>
        <w:topLinePunct w:val="0"/>
        <w:autoSpaceDE/>
        <w:autoSpaceDN/>
        <w:bidi w:val="0"/>
        <w:adjustRightInd/>
        <w:snapToGrid/>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033645" cy="3065780"/>
            <wp:effectExtent l="0" t="0" r="14605" b="1270"/>
            <wp:docPr id="2" name="图片 2" descr="36c2abd49119d418352ca851a792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c2abd49119d418352ca851a792ee5"/>
                    <pic:cNvPicPr>
                      <a:picLocks noChangeAspect="1"/>
                    </pic:cNvPicPr>
                  </pic:nvPicPr>
                  <pic:blipFill>
                    <a:blip r:embed="rId6"/>
                    <a:stretch>
                      <a:fillRect/>
                    </a:stretch>
                  </pic:blipFill>
                  <pic:spPr>
                    <a:xfrm>
                      <a:off x="0" y="0"/>
                      <a:ext cx="5033645" cy="3065780"/>
                    </a:xfrm>
                    <a:prstGeom prst="rect">
                      <a:avLst/>
                    </a:prstGeom>
                  </pic:spPr>
                </pic:pic>
              </a:graphicData>
            </a:graphic>
          </wp:inline>
        </w:drawing>
      </w:r>
    </w:p>
    <w:p w14:paraId="740BB9E5">
      <w:pPr>
        <w:rPr>
          <w:rFonts w:hint="eastAsia" w:ascii="仿宋" w:hAnsi="仿宋" w:eastAsia="仿宋" w:cs="Times New Roman"/>
          <w:sz w:val="32"/>
          <w:szCs w:val="32"/>
          <w:highlight w:val="none"/>
          <w:lang w:val="en-US" w:eastAsia="zh-CN"/>
        </w:rPr>
      </w:pPr>
    </w:p>
    <w:p w14:paraId="0492CF72">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Times New Roman"/>
          <w:sz w:val="32"/>
          <w:szCs w:val="32"/>
          <w:highlight w:val="none"/>
          <w:lang w:val="en-US" w:eastAsia="zh-CN"/>
        </w:rPr>
        <w:t>（二）</w:t>
      </w:r>
      <w:r>
        <w:rPr>
          <w:rFonts w:hint="eastAsia" w:ascii="仿宋" w:hAnsi="仿宋" w:eastAsia="仿宋" w:cs="仿宋"/>
          <w:sz w:val="32"/>
          <w:szCs w:val="32"/>
          <w:lang w:val="en-US" w:eastAsia="zh-CN"/>
        </w:rPr>
        <w:t>西水关</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w:t>
      </w:r>
    </w:p>
    <w:p w14:paraId="2FBB6775">
      <w:pPr>
        <w:keepNext w:val="0"/>
        <w:keepLines w:val="0"/>
        <w:pageBreakBefore w:val="0"/>
        <w:kinsoku/>
        <w:wordWrap/>
        <w:overflowPunct/>
        <w:topLinePunct w:val="0"/>
        <w:autoSpaceDE/>
        <w:autoSpaceDN/>
        <w:bidi w:val="0"/>
        <w:adjustRightInd/>
        <w:snapToGrid/>
        <w:textAlignment w:val="auto"/>
        <w:rPr>
          <w:rFonts w:hint="eastAsia" w:ascii="仿宋" w:hAnsi="仿宋" w:eastAsia="仿宋" w:cs="Times New Roman"/>
          <w:sz w:val="32"/>
          <w:szCs w:val="32"/>
          <w:highlight w:val="none"/>
          <w:lang w:val="en-US" w:eastAsia="zh-CN"/>
        </w:rPr>
      </w:pPr>
      <w:r>
        <w:rPr>
          <w:rFonts w:hint="eastAsia" w:ascii="仿宋" w:hAnsi="仿宋" w:eastAsia="仿宋" w:cs="仿宋"/>
          <w:sz w:val="32"/>
          <w:szCs w:val="32"/>
          <w:lang w:val="en-US" w:eastAsia="zh-CN"/>
        </w:rPr>
        <w:drawing>
          <wp:inline distT="0" distB="0" distL="114300" distR="114300">
            <wp:extent cx="4977765" cy="3159760"/>
            <wp:effectExtent l="0" t="0" r="13335" b="2540"/>
            <wp:docPr id="3" name="图片 3" descr="a0f5cea6cb3f56f5e7411ec8ada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f5cea6cb3f56f5e7411ec8ada3230"/>
                    <pic:cNvPicPr>
                      <a:picLocks noChangeAspect="1"/>
                    </pic:cNvPicPr>
                  </pic:nvPicPr>
                  <pic:blipFill>
                    <a:blip r:embed="rId7"/>
                    <a:srcRect t="4533" r="108" b="4081"/>
                    <a:stretch>
                      <a:fillRect/>
                    </a:stretch>
                  </pic:blipFill>
                  <pic:spPr>
                    <a:xfrm>
                      <a:off x="0" y="0"/>
                      <a:ext cx="4977765" cy="3159760"/>
                    </a:xfrm>
                    <a:prstGeom prst="rect">
                      <a:avLst/>
                    </a:prstGeom>
                  </pic:spPr>
                </pic:pic>
              </a:graphicData>
            </a:graphic>
          </wp:inline>
        </w:drawing>
      </w:r>
    </w:p>
    <w:p w14:paraId="4ECFE93D">
      <w:pPr>
        <w:keepNext w:val="0"/>
        <w:keepLines w:val="0"/>
        <w:pageBreakBefore w:val="0"/>
        <w:kinsoku/>
        <w:wordWrap/>
        <w:overflowPunct/>
        <w:topLinePunct w:val="0"/>
        <w:autoSpaceDE/>
        <w:autoSpaceDN/>
        <w:bidi w:val="0"/>
        <w:adjustRightInd/>
        <w:snapToGrid/>
        <w:ind w:firstLine="0" w:firstLineChars="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br w:type="page"/>
      </w:r>
    </w:p>
    <w:p w14:paraId="61FD70A2">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Times New Roman"/>
          <w:sz w:val="32"/>
          <w:szCs w:val="32"/>
          <w:highlight w:val="none"/>
          <w:lang w:val="en-US" w:eastAsia="zh-CN"/>
        </w:rPr>
        <w:t>（三）</w:t>
      </w:r>
      <w:r>
        <w:rPr>
          <w:rFonts w:hint="eastAsia" w:ascii="仿宋" w:hAnsi="仿宋" w:eastAsia="仿宋" w:cs="仿宋"/>
          <w:sz w:val="32"/>
          <w:szCs w:val="32"/>
          <w:lang w:val="en-US" w:eastAsia="zh-CN"/>
        </w:rPr>
        <w:t>黎明湖</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w:t>
      </w:r>
    </w:p>
    <w:p w14:paraId="7C849444">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1135" cy="3295650"/>
            <wp:effectExtent l="0" t="0" r="5715" b="0"/>
            <wp:docPr id="4" name="图片 4" descr="988dbe12b032a79f368e3024ab7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88dbe12b032a79f368e3024ab70680"/>
                    <pic:cNvPicPr>
                      <a:picLocks noChangeAspect="1"/>
                    </pic:cNvPicPr>
                  </pic:nvPicPr>
                  <pic:blipFill>
                    <a:blip r:embed="rId8"/>
                    <a:stretch>
                      <a:fillRect/>
                    </a:stretch>
                  </pic:blipFill>
                  <pic:spPr>
                    <a:xfrm>
                      <a:off x="0" y="0"/>
                      <a:ext cx="5271135" cy="3295650"/>
                    </a:xfrm>
                    <a:prstGeom prst="rect">
                      <a:avLst/>
                    </a:prstGeom>
                  </pic:spPr>
                </pic:pic>
              </a:graphicData>
            </a:graphic>
          </wp:inline>
        </w:drawing>
      </w:r>
    </w:p>
    <w:p w14:paraId="4987FA8A">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（四）南公园</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w:t>
      </w:r>
    </w:p>
    <w:p w14:paraId="2C7E5D89">
      <w:pPr>
        <w:keepNext w:val="0"/>
        <w:keepLines w:val="0"/>
        <w:pageBreakBefore w:val="0"/>
        <w:kinsoku/>
        <w:wordWrap/>
        <w:overflowPunct/>
        <w:topLinePunct w:val="0"/>
        <w:autoSpaceDE/>
        <w:autoSpaceDN/>
        <w:bidi w:val="0"/>
        <w:adjustRightInd/>
        <w:snapToGrid/>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92725" cy="3255645"/>
            <wp:effectExtent l="0" t="0" r="3175" b="1905"/>
            <wp:docPr id="6" name="图片 6" descr="d09946a73affa5143f2172a4794f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09946a73affa5143f2172a4794fb21"/>
                    <pic:cNvPicPr>
                      <a:picLocks noChangeAspect="1"/>
                    </pic:cNvPicPr>
                  </pic:nvPicPr>
                  <pic:blipFill>
                    <a:blip r:embed="rId9"/>
                    <a:srcRect r="5063"/>
                    <a:stretch>
                      <a:fillRect/>
                    </a:stretch>
                  </pic:blipFill>
                  <pic:spPr>
                    <a:xfrm>
                      <a:off x="0" y="0"/>
                      <a:ext cx="5292725" cy="3255645"/>
                    </a:xfrm>
                    <a:prstGeom prst="rect">
                      <a:avLst/>
                    </a:prstGeom>
                  </pic:spPr>
                </pic:pic>
              </a:graphicData>
            </a:graphic>
          </wp:inline>
        </w:drawing>
      </w:r>
    </w:p>
    <w:p w14:paraId="7B55703C">
      <w:pPr>
        <w:keepNext w:val="0"/>
        <w:keepLines w:val="0"/>
        <w:pageBreakBefore w:val="0"/>
        <w:kinsoku/>
        <w:wordWrap/>
        <w:overflowPunct/>
        <w:topLinePunct w:val="0"/>
        <w:autoSpaceDE/>
        <w:autoSpaceDN/>
        <w:bidi w:val="0"/>
        <w:adjustRightInd/>
        <w:snapToGrid/>
        <w:ind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14:paraId="52F2F45D">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（五）琴亭湖</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w:t>
      </w:r>
    </w:p>
    <w:p w14:paraId="3457975C">
      <w:pPr>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66055" cy="3301365"/>
            <wp:effectExtent l="0" t="0" r="10795" b="13335"/>
            <wp:docPr id="7" name="图片 7" descr="60eaaafb256cd69ec4b125a29343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0eaaafb256cd69ec4b125a29343d58"/>
                    <pic:cNvPicPr>
                      <a:picLocks noChangeAspect="1"/>
                    </pic:cNvPicPr>
                  </pic:nvPicPr>
                  <pic:blipFill>
                    <a:blip r:embed="rId10"/>
                    <a:stretch>
                      <a:fillRect/>
                    </a:stretch>
                  </pic:blipFill>
                  <pic:spPr>
                    <a:xfrm>
                      <a:off x="0" y="0"/>
                      <a:ext cx="5266055" cy="3301365"/>
                    </a:xfrm>
                    <a:prstGeom prst="rect">
                      <a:avLst/>
                    </a:prstGeom>
                  </pic:spPr>
                </pic:pic>
              </a:graphicData>
            </a:graphic>
          </wp:inline>
        </w:drawing>
      </w:r>
    </w:p>
    <w:p w14:paraId="03445E1A">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（六）流花溪</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w:t>
      </w:r>
    </w:p>
    <w:p w14:paraId="071F1E0D">
      <w:pPr>
        <w:keepNext w:val="0"/>
        <w:keepLines w:val="0"/>
        <w:pageBreakBefore w:val="0"/>
        <w:kinsoku/>
        <w:wordWrap/>
        <w:overflowPunct/>
        <w:topLinePunct w:val="0"/>
        <w:autoSpaceDE/>
        <w:autoSpaceDN/>
        <w:bidi w:val="0"/>
        <w:adjustRightInd/>
        <w:snapToGrid/>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70500" cy="3185160"/>
            <wp:effectExtent l="0" t="0" r="6350" b="15240"/>
            <wp:docPr id="8" name="图片 8" descr="f726982d6968e3e9284ec454f18f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726982d6968e3e9284ec454f18fbc1"/>
                    <pic:cNvPicPr>
                      <a:picLocks noChangeAspect="1"/>
                    </pic:cNvPicPr>
                  </pic:nvPicPr>
                  <pic:blipFill>
                    <a:blip r:embed="rId11"/>
                    <a:stretch>
                      <a:fillRect/>
                    </a:stretch>
                  </pic:blipFill>
                  <pic:spPr>
                    <a:xfrm>
                      <a:off x="0" y="0"/>
                      <a:ext cx="5270500" cy="3185160"/>
                    </a:xfrm>
                    <a:prstGeom prst="rect">
                      <a:avLst/>
                    </a:prstGeom>
                  </pic:spPr>
                </pic:pic>
              </a:graphicData>
            </a:graphic>
          </wp:inline>
        </w:drawing>
      </w:r>
    </w:p>
    <w:p w14:paraId="13437C97">
      <w:pPr>
        <w:keepNext w:val="0"/>
        <w:keepLines w:val="0"/>
        <w:pageBreakBefore w:val="0"/>
        <w:kinsoku/>
        <w:wordWrap/>
        <w:overflowPunct/>
        <w:topLinePunct w:val="0"/>
        <w:autoSpaceDE/>
        <w:autoSpaceDN/>
        <w:bidi w:val="0"/>
        <w:adjustRightInd/>
        <w:snapToGrid/>
        <w:ind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14:paraId="69A2CEBB">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（七）龙舟渡</w:t>
      </w:r>
      <w:r>
        <w:rPr>
          <w:rFonts w:hint="eastAsia" w:ascii="仿宋" w:hAnsi="仿宋" w:eastAsia="仿宋" w:cs="仿宋"/>
          <w:b w:val="0"/>
          <w:bCs w:val="0"/>
          <w:sz w:val="32"/>
          <w:szCs w:val="32"/>
          <w:lang w:val="en-US" w:eastAsia="zh-CN"/>
        </w:rPr>
        <w:t>游船</w:t>
      </w:r>
      <w:r>
        <w:rPr>
          <w:rFonts w:hint="eastAsia" w:ascii="仿宋" w:hAnsi="仿宋" w:eastAsia="仿宋" w:cs="仿宋"/>
          <w:sz w:val="32"/>
          <w:szCs w:val="32"/>
          <w:lang w:val="en-US" w:eastAsia="zh-CN"/>
        </w:rPr>
        <w:t>码头</w:t>
      </w:r>
    </w:p>
    <w:p w14:paraId="6FBAC932">
      <w:pPr>
        <w:keepNext w:val="0"/>
        <w:keepLines w:val="0"/>
        <w:pageBreakBefore w:val="0"/>
        <w:kinsoku/>
        <w:wordWrap/>
        <w:overflowPunct/>
        <w:topLinePunct w:val="0"/>
        <w:autoSpaceDE/>
        <w:autoSpaceDN/>
        <w:bidi w:val="0"/>
        <w:adjustRightInd/>
        <w:snapToGrid/>
        <w:textAlignment w:val="auto"/>
        <w:rPr>
          <w:rFonts w:hint="eastAsia" w:ascii="仿宋" w:hAnsi="仿宋" w:eastAsia="仿宋" w:cs="仿宋"/>
          <w:b/>
          <w:bCs/>
          <w:sz w:val="32"/>
          <w:szCs w:val="32"/>
          <w:lang w:val="en-US" w:eastAsia="zh-CN"/>
        </w:rPr>
      </w:pPr>
      <w:r>
        <w:rPr>
          <w:rFonts w:hint="default" w:ascii="仿宋" w:hAnsi="仿宋" w:eastAsia="仿宋" w:cs="仿宋"/>
          <w:b/>
          <w:bCs/>
          <w:sz w:val="32"/>
          <w:szCs w:val="32"/>
          <w:lang w:val="en-US" w:eastAsia="zh-CN"/>
        </w:rPr>
        <w:drawing>
          <wp:inline distT="0" distB="0" distL="114300" distR="114300">
            <wp:extent cx="5269230" cy="2985770"/>
            <wp:effectExtent l="0" t="0" r="7620" b="5080"/>
            <wp:docPr id="9" name="图片 9" descr="51a5877ecd46403a66f7fef02cf6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1a5877ecd46403a66f7fef02cf644c"/>
                    <pic:cNvPicPr>
                      <a:picLocks noChangeAspect="1"/>
                    </pic:cNvPicPr>
                  </pic:nvPicPr>
                  <pic:blipFill>
                    <a:blip r:embed="rId12"/>
                    <a:stretch>
                      <a:fillRect/>
                    </a:stretch>
                  </pic:blipFill>
                  <pic:spPr>
                    <a:xfrm>
                      <a:off x="0" y="0"/>
                      <a:ext cx="5269230" cy="2985770"/>
                    </a:xfrm>
                    <a:prstGeom prst="rect">
                      <a:avLst/>
                    </a:prstGeom>
                  </pic:spPr>
                </pic:pic>
              </a:graphicData>
            </a:graphic>
          </wp:inline>
        </w:drawing>
      </w:r>
    </w:p>
    <w:p w14:paraId="53C71D76">
      <w:pPr>
        <w:rPr>
          <w:rFonts w:hint="eastAsia" w:ascii="仿宋" w:hAnsi="仿宋" w:eastAsia="仿宋" w:cs="仿宋"/>
          <w:b/>
          <w:bCs/>
          <w:sz w:val="32"/>
          <w:szCs w:val="32"/>
          <w:lang w:val="en-US" w:eastAsia="zh-CN"/>
        </w:rPr>
      </w:pPr>
    </w:p>
    <w:p w14:paraId="565B09C1">
      <w:pPr>
        <w:keepNext w:val="0"/>
        <w:keepLines w:val="0"/>
        <w:pageBreakBefore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七、考核办法</w:t>
      </w:r>
    </w:p>
    <w:p w14:paraId="3D127CAC">
      <w:pPr>
        <w:pStyle w:val="2"/>
        <w:ind w:firstLine="640" w:firstLineChars="200"/>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（一）评分标准</w:t>
      </w:r>
    </w:p>
    <w:tbl>
      <w:tblPr>
        <w:tblStyle w:val="6"/>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5921"/>
        <w:gridCol w:w="1855"/>
      </w:tblGrid>
      <w:tr w14:paraId="7F1C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03" w:type="dxa"/>
            <w:vAlign w:val="center"/>
          </w:tcPr>
          <w:p w14:paraId="7800556E">
            <w:pPr>
              <w:widowControl/>
              <w:spacing w:line="360" w:lineRule="auto"/>
              <w:jc w:val="center"/>
              <w:rPr>
                <w:rFonts w:hint="eastAsia" w:ascii="仿宋" w:hAnsi="仿宋" w:eastAsia="仿宋" w:cs="仿宋"/>
                <w:sz w:val="32"/>
                <w:szCs w:val="32"/>
                <w:vertAlign w:val="baseline"/>
                <w:lang w:val="en-US" w:eastAsia="zh-CN"/>
              </w:rPr>
            </w:pPr>
            <w:r>
              <w:rPr>
                <w:rFonts w:hint="eastAsia" w:ascii="宋体" w:hAnsi="宋体" w:cs="宋体"/>
                <w:b/>
                <w:bCs/>
                <w:color w:val="auto"/>
                <w:kern w:val="0"/>
                <w:sz w:val="24"/>
                <w:highlight w:val="none"/>
              </w:rPr>
              <w:t>序号</w:t>
            </w:r>
          </w:p>
        </w:tc>
        <w:tc>
          <w:tcPr>
            <w:tcW w:w="5921" w:type="dxa"/>
            <w:vAlign w:val="center"/>
          </w:tcPr>
          <w:p w14:paraId="141ADE0D">
            <w:pPr>
              <w:widowControl/>
              <w:spacing w:line="360" w:lineRule="auto"/>
              <w:jc w:val="center"/>
              <w:rPr>
                <w:rFonts w:hint="eastAsia" w:ascii="仿宋" w:hAnsi="仿宋" w:eastAsia="仿宋" w:cs="仿宋"/>
                <w:sz w:val="32"/>
                <w:szCs w:val="32"/>
                <w:vertAlign w:val="baseline"/>
                <w:lang w:val="en-US" w:eastAsia="zh-CN"/>
              </w:rPr>
            </w:pPr>
            <w:r>
              <w:rPr>
                <w:rFonts w:hint="eastAsia" w:ascii="宋体" w:hAnsi="宋体" w:cs="宋体"/>
                <w:b/>
                <w:bCs/>
                <w:color w:val="auto"/>
                <w:kern w:val="0"/>
                <w:sz w:val="24"/>
                <w:highlight w:val="none"/>
                <w:lang w:val="en-US" w:eastAsia="zh-CN"/>
              </w:rPr>
              <w:t>考核</w:t>
            </w:r>
            <w:r>
              <w:rPr>
                <w:rFonts w:hint="eastAsia" w:ascii="宋体" w:hAnsi="宋体" w:cs="宋体"/>
                <w:b/>
                <w:bCs/>
                <w:color w:val="auto"/>
                <w:kern w:val="0"/>
                <w:sz w:val="24"/>
                <w:highlight w:val="none"/>
              </w:rPr>
              <w:t>内容</w:t>
            </w:r>
          </w:p>
        </w:tc>
        <w:tc>
          <w:tcPr>
            <w:tcW w:w="1855" w:type="dxa"/>
            <w:vAlign w:val="center"/>
          </w:tcPr>
          <w:p w14:paraId="73CADB9B">
            <w:pPr>
              <w:widowControl/>
              <w:spacing w:line="360" w:lineRule="auto"/>
              <w:jc w:val="center"/>
              <w:rPr>
                <w:rFonts w:hint="eastAsia" w:ascii="仿宋" w:hAnsi="仿宋" w:cs="仿宋" w:eastAsiaTheme="minorEastAsia"/>
                <w:sz w:val="32"/>
                <w:szCs w:val="32"/>
                <w:vertAlign w:val="baseline"/>
                <w:lang w:val="en-US" w:eastAsia="zh-CN"/>
              </w:rPr>
            </w:pPr>
            <w:commentRangeStart w:id="9"/>
            <w:r>
              <w:rPr>
                <w:rFonts w:hint="eastAsia" w:ascii="宋体" w:hAnsi="宋体" w:cs="宋体"/>
                <w:b/>
                <w:bCs/>
                <w:color w:val="auto"/>
                <w:kern w:val="0"/>
                <w:sz w:val="24"/>
                <w:highlight w:val="none"/>
              </w:rPr>
              <w:t>扣分</w:t>
            </w:r>
            <w:r>
              <w:rPr>
                <w:rFonts w:hint="eastAsia" w:ascii="宋体" w:hAnsi="宋体" w:cs="宋体"/>
                <w:b/>
                <w:bCs/>
                <w:color w:val="auto"/>
                <w:kern w:val="0"/>
                <w:sz w:val="24"/>
                <w:highlight w:val="none"/>
                <w:lang w:val="en-US" w:eastAsia="zh-CN"/>
              </w:rPr>
              <w:t>规则</w:t>
            </w:r>
            <w:commentRangeEnd w:id="9"/>
            <w:r>
              <w:commentReference w:id="9"/>
            </w:r>
          </w:p>
        </w:tc>
      </w:tr>
      <w:tr w14:paraId="7A6F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903" w:type="dxa"/>
            <w:vAlign w:val="center"/>
          </w:tcPr>
          <w:p w14:paraId="0916D8D3">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w:t>
            </w:r>
          </w:p>
        </w:tc>
        <w:tc>
          <w:tcPr>
            <w:tcW w:w="5921" w:type="dxa"/>
            <w:vAlign w:val="center"/>
          </w:tcPr>
          <w:p w14:paraId="0FCA758A">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负责自助售货机的日常经营管理工作，同时应做好经营区域卫生、消防管理等，确保环境整洁、美观、舒适，提供的服务质量符合要求。</w:t>
            </w:r>
          </w:p>
        </w:tc>
        <w:tc>
          <w:tcPr>
            <w:tcW w:w="1855" w:type="dxa"/>
            <w:vAlign w:val="center"/>
          </w:tcPr>
          <w:p w14:paraId="1ABB3975">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扣</w:t>
            </w:r>
            <w:r>
              <w:rPr>
                <w:rFonts w:hint="eastAsia" w:asciiTheme="minorEastAsia" w:hAnsiTheme="minorEastAsia" w:cstheme="minorEastAsia"/>
                <w:sz w:val="24"/>
                <w:szCs w:val="24"/>
                <w:vertAlign w:val="baseline"/>
                <w:lang w:val="en-US" w:eastAsia="zh-CN"/>
              </w:rPr>
              <w:t>2</w:t>
            </w:r>
            <w:r>
              <w:rPr>
                <w:rFonts w:hint="eastAsia" w:asciiTheme="minorEastAsia" w:hAnsiTheme="minorEastAsia" w:eastAsiaTheme="minorEastAsia" w:cstheme="minorEastAsia"/>
                <w:sz w:val="24"/>
                <w:szCs w:val="24"/>
                <w:vertAlign w:val="baseline"/>
                <w:lang w:val="en-US" w:eastAsia="zh-CN"/>
              </w:rPr>
              <w:t>分</w:t>
            </w:r>
          </w:p>
        </w:tc>
      </w:tr>
      <w:tr w14:paraId="1C03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03" w:type="dxa"/>
            <w:vAlign w:val="center"/>
          </w:tcPr>
          <w:p w14:paraId="2976AE9B">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w:t>
            </w:r>
          </w:p>
        </w:tc>
        <w:tc>
          <w:tcPr>
            <w:tcW w:w="5921" w:type="dxa"/>
            <w:vAlign w:val="center"/>
          </w:tcPr>
          <w:p w14:paraId="2E09F2DB">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在合作期间持续具备相关资质、证照或批准。</w:t>
            </w:r>
          </w:p>
        </w:tc>
        <w:tc>
          <w:tcPr>
            <w:tcW w:w="1855" w:type="dxa"/>
            <w:vAlign w:val="center"/>
          </w:tcPr>
          <w:p w14:paraId="5EA43A53">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扣</w:t>
            </w:r>
            <w:r>
              <w:rPr>
                <w:rFonts w:hint="eastAsia" w:asciiTheme="minorEastAsia" w:hAnsiTheme="minorEastAsia" w:cstheme="minorEastAsia"/>
                <w:sz w:val="24"/>
                <w:szCs w:val="24"/>
                <w:vertAlign w:val="baseline"/>
                <w:lang w:val="en-US" w:eastAsia="zh-CN"/>
              </w:rPr>
              <w:t>20</w:t>
            </w:r>
            <w:r>
              <w:rPr>
                <w:rFonts w:hint="eastAsia" w:asciiTheme="minorEastAsia" w:hAnsiTheme="minorEastAsia" w:eastAsiaTheme="minorEastAsia" w:cstheme="minorEastAsia"/>
                <w:sz w:val="24"/>
                <w:szCs w:val="24"/>
                <w:vertAlign w:val="baseline"/>
                <w:lang w:val="en-US" w:eastAsia="zh-CN"/>
              </w:rPr>
              <w:t>分</w:t>
            </w:r>
          </w:p>
        </w:tc>
      </w:tr>
      <w:tr w14:paraId="5CA8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903" w:type="dxa"/>
            <w:vAlign w:val="center"/>
          </w:tcPr>
          <w:p w14:paraId="2C2599E4">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w:t>
            </w:r>
          </w:p>
        </w:tc>
        <w:tc>
          <w:tcPr>
            <w:tcW w:w="5921" w:type="dxa"/>
            <w:vAlign w:val="center"/>
          </w:tcPr>
          <w:p w14:paraId="2B9E381C">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售货机因故障或其他原因造成不能使用的，合作单位接到我司通知后48小时内委派技术人员到达并对故障进行排除，经维护不能恢复正常使用，合作单位须在一周内（节假日顺延）予以更换正常机器。</w:t>
            </w:r>
          </w:p>
        </w:tc>
        <w:tc>
          <w:tcPr>
            <w:tcW w:w="1855" w:type="dxa"/>
            <w:vAlign w:val="center"/>
          </w:tcPr>
          <w:p w14:paraId="6762111A">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扣</w:t>
            </w:r>
            <w:r>
              <w:rPr>
                <w:rFonts w:hint="eastAsia" w:asciiTheme="minorEastAsia" w:hAnsiTheme="minorEastAsia" w:cstheme="minorEastAsia"/>
                <w:sz w:val="24"/>
                <w:szCs w:val="24"/>
                <w:vertAlign w:val="baseline"/>
                <w:lang w:val="en-US" w:eastAsia="zh-CN"/>
              </w:rPr>
              <w:t>2</w:t>
            </w:r>
            <w:r>
              <w:rPr>
                <w:rFonts w:hint="eastAsia" w:asciiTheme="minorEastAsia" w:hAnsiTheme="minorEastAsia" w:eastAsiaTheme="minorEastAsia" w:cstheme="minorEastAsia"/>
                <w:sz w:val="24"/>
                <w:szCs w:val="24"/>
                <w:vertAlign w:val="baseline"/>
                <w:lang w:val="en-US" w:eastAsia="zh-CN"/>
              </w:rPr>
              <w:t>分</w:t>
            </w:r>
          </w:p>
        </w:tc>
      </w:tr>
      <w:tr w14:paraId="5A29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03" w:type="dxa"/>
            <w:vAlign w:val="center"/>
          </w:tcPr>
          <w:p w14:paraId="62DB3899">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4</w:t>
            </w:r>
          </w:p>
        </w:tc>
        <w:tc>
          <w:tcPr>
            <w:tcW w:w="5921" w:type="dxa"/>
            <w:vAlign w:val="center"/>
          </w:tcPr>
          <w:p w14:paraId="283CB127">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保证服务人员符合国家相关要求，避免出现游客出现反复投诉问题。</w:t>
            </w:r>
          </w:p>
        </w:tc>
        <w:tc>
          <w:tcPr>
            <w:tcW w:w="1855" w:type="dxa"/>
            <w:vAlign w:val="center"/>
          </w:tcPr>
          <w:p w14:paraId="48962ACA">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扣</w:t>
            </w:r>
            <w:r>
              <w:rPr>
                <w:rFonts w:hint="eastAsia" w:asciiTheme="minorEastAsia" w:hAnsiTheme="minorEastAsia" w:cstheme="minorEastAsia"/>
                <w:sz w:val="24"/>
                <w:szCs w:val="24"/>
                <w:vertAlign w:val="baseline"/>
                <w:lang w:val="en-US" w:eastAsia="zh-CN"/>
              </w:rPr>
              <w:t>2</w:t>
            </w:r>
            <w:r>
              <w:rPr>
                <w:rFonts w:hint="eastAsia" w:asciiTheme="minorEastAsia" w:hAnsiTheme="minorEastAsia" w:eastAsiaTheme="minorEastAsia" w:cstheme="minorEastAsia"/>
                <w:sz w:val="24"/>
                <w:szCs w:val="24"/>
                <w:vertAlign w:val="baseline"/>
                <w:lang w:val="en-US" w:eastAsia="zh-CN"/>
              </w:rPr>
              <w:t>分</w:t>
            </w:r>
          </w:p>
        </w:tc>
      </w:tr>
      <w:tr w14:paraId="0378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903" w:type="dxa"/>
            <w:vAlign w:val="center"/>
          </w:tcPr>
          <w:p w14:paraId="09901789">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5</w:t>
            </w:r>
          </w:p>
        </w:tc>
        <w:tc>
          <w:tcPr>
            <w:tcW w:w="5921" w:type="dxa"/>
            <w:vAlign w:val="center"/>
          </w:tcPr>
          <w:p w14:paraId="3E7495F8">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按时限要求每月完成对账及费用支付</w:t>
            </w:r>
          </w:p>
        </w:tc>
        <w:tc>
          <w:tcPr>
            <w:tcW w:w="1855" w:type="dxa"/>
            <w:vAlign w:val="center"/>
          </w:tcPr>
          <w:p w14:paraId="07824A3D">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逾期</w:t>
            </w:r>
            <w:r>
              <w:rPr>
                <w:rFonts w:hint="eastAsia" w:asciiTheme="minorEastAsia" w:hAnsiTheme="minorEastAsia" w:eastAsiaTheme="minorEastAsia" w:cstheme="minorEastAsia"/>
                <w:sz w:val="24"/>
                <w:szCs w:val="24"/>
                <w:vertAlign w:val="baseline"/>
                <w:lang w:val="en-US" w:eastAsia="zh-CN"/>
              </w:rPr>
              <w:t>超过</w:t>
            </w:r>
            <w:r>
              <w:rPr>
                <w:rFonts w:hint="eastAsia" w:asciiTheme="minorEastAsia" w:hAnsiTheme="minorEastAsia" w:cstheme="minorEastAsia"/>
                <w:sz w:val="24"/>
                <w:szCs w:val="24"/>
                <w:vertAlign w:val="baseline"/>
                <w:lang w:val="en-US" w:eastAsia="zh-CN"/>
              </w:rPr>
              <w:t>3</w:t>
            </w:r>
            <w:r>
              <w:rPr>
                <w:rFonts w:hint="eastAsia" w:asciiTheme="minorEastAsia" w:hAnsiTheme="minorEastAsia" w:eastAsiaTheme="minorEastAsia" w:cstheme="minorEastAsia"/>
                <w:sz w:val="24"/>
                <w:szCs w:val="24"/>
                <w:vertAlign w:val="baseline"/>
                <w:lang w:val="en-US" w:eastAsia="zh-CN"/>
              </w:rPr>
              <w:t>个工作日</w:t>
            </w:r>
            <w:r>
              <w:rPr>
                <w:rFonts w:hint="eastAsia" w:asciiTheme="minorEastAsia" w:hAnsiTheme="minorEastAsia" w:cstheme="minorEastAsia"/>
                <w:sz w:val="24"/>
                <w:szCs w:val="24"/>
                <w:vertAlign w:val="baseline"/>
                <w:lang w:val="en-US" w:eastAsia="zh-CN"/>
              </w:rPr>
              <w:t>后</w:t>
            </w:r>
            <w:r>
              <w:rPr>
                <w:rFonts w:hint="eastAsia" w:asciiTheme="minorEastAsia" w:hAnsiTheme="minorEastAsia" w:eastAsiaTheme="minorEastAsia" w:cstheme="minorEastAsia"/>
                <w:sz w:val="24"/>
                <w:szCs w:val="24"/>
                <w:vertAlign w:val="baseline"/>
                <w:lang w:val="en-US" w:eastAsia="zh-CN"/>
              </w:rPr>
              <w:t>，每个工作日扣</w:t>
            </w:r>
            <w:r>
              <w:rPr>
                <w:rFonts w:hint="eastAsia" w:asciiTheme="minorEastAsia" w:hAnsiTheme="minorEastAsia" w:cstheme="minorEastAsia"/>
                <w:sz w:val="24"/>
                <w:szCs w:val="24"/>
                <w:vertAlign w:val="baseline"/>
                <w:lang w:val="en-US" w:eastAsia="zh-CN"/>
              </w:rPr>
              <w:t>1</w:t>
            </w:r>
            <w:r>
              <w:rPr>
                <w:rFonts w:hint="eastAsia" w:asciiTheme="minorEastAsia" w:hAnsiTheme="minorEastAsia" w:eastAsiaTheme="minorEastAsia" w:cstheme="minorEastAsia"/>
                <w:sz w:val="24"/>
                <w:szCs w:val="24"/>
                <w:vertAlign w:val="baseline"/>
                <w:lang w:val="en-US" w:eastAsia="zh-CN"/>
              </w:rPr>
              <w:t>分</w:t>
            </w:r>
          </w:p>
        </w:tc>
      </w:tr>
      <w:tr w14:paraId="14A7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03" w:type="dxa"/>
            <w:vAlign w:val="center"/>
          </w:tcPr>
          <w:p w14:paraId="2FD3B0D7">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6</w:t>
            </w:r>
          </w:p>
        </w:tc>
        <w:tc>
          <w:tcPr>
            <w:tcW w:w="5921" w:type="dxa"/>
            <w:vAlign w:val="center"/>
          </w:tcPr>
          <w:p w14:paraId="53D8941C">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每季度根据销量及实际情况，对销售产品进行更新。</w:t>
            </w:r>
          </w:p>
        </w:tc>
        <w:tc>
          <w:tcPr>
            <w:tcW w:w="1855" w:type="dxa"/>
            <w:vAlign w:val="center"/>
          </w:tcPr>
          <w:p w14:paraId="6C75EA48">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扣</w:t>
            </w:r>
            <w:r>
              <w:rPr>
                <w:rFonts w:hint="eastAsia" w:asciiTheme="minorEastAsia" w:hAnsiTheme="minorEastAsia" w:cstheme="minorEastAsia"/>
                <w:sz w:val="24"/>
                <w:szCs w:val="24"/>
                <w:vertAlign w:val="baseline"/>
                <w:lang w:val="en-US" w:eastAsia="zh-CN"/>
              </w:rPr>
              <w:t>2</w:t>
            </w:r>
            <w:r>
              <w:rPr>
                <w:rFonts w:hint="eastAsia" w:asciiTheme="minorEastAsia" w:hAnsiTheme="minorEastAsia" w:eastAsiaTheme="minorEastAsia" w:cstheme="minorEastAsia"/>
                <w:sz w:val="24"/>
                <w:szCs w:val="24"/>
                <w:vertAlign w:val="baseline"/>
                <w:lang w:val="en-US" w:eastAsia="zh-CN"/>
              </w:rPr>
              <w:t>分</w:t>
            </w:r>
          </w:p>
        </w:tc>
      </w:tr>
      <w:tr w14:paraId="53C8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03" w:type="dxa"/>
            <w:vAlign w:val="center"/>
          </w:tcPr>
          <w:p w14:paraId="148B63AC">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7</w:t>
            </w:r>
          </w:p>
        </w:tc>
        <w:tc>
          <w:tcPr>
            <w:tcW w:w="5921" w:type="dxa"/>
            <w:vAlign w:val="center"/>
          </w:tcPr>
          <w:p w14:paraId="1851F6C3">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运营过程中保证设备支持微信、支付宝双平台支付。</w:t>
            </w:r>
          </w:p>
        </w:tc>
        <w:tc>
          <w:tcPr>
            <w:tcW w:w="1855" w:type="dxa"/>
            <w:vAlign w:val="center"/>
          </w:tcPr>
          <w:p w14:paraId="5B7CE916">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扣</w:t>
            </w:r>
            <w:r>
              <w:rPr>
                <w:rFonts w:hint="eastAsia" w:asciiTheme="minorEastAsia" w:hAnsiTheme="minorEastAsia" w:cstheme="minorEastAsia"/>
                <w:sz w:val="24"/>
                <w:szCs w:val="24"/>
                <w:vertAlign w:val="baseline"/>
                <w:lang w:val="en-US" w:eastAsia="zh-CN"/>
              </w:rPr>
              <w:t>2</w:t>
            </w:r>
            <w:r>
              <w:rPr>
                <w:rFonts w:hint="eastAsia" w:asciiTheme="minorEastAsia" w:hAnsiTheme="minorEastAsia" w:eastAsiaTheme="minorEastAsia" w:cstheme="minorEastAsia"/>
                <w:sz w:val="24"/>
                <w:szCs w:val="24"/>
                <w:vertAlign w:val="baseline"/>
                <w:lang w:val="en-US" w:eastAsia="zh-CN"/>
              </w:rPr>
              <w:t>分</w:t>
            </w:r>
          </w:p>
        </w:tc>
      </w:tr>
      <w:tr w14:paraId="4D3F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03" w:type="dxa"/>
            <w:vAlign w:val="center"/>
          </w:tcPr>
          <w:p w14:paraId="2D53529E">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8</w:t>
            </w:r>
          </w:p>
        </w:tc>
        <w:tc>
          <w:tcPr>
            <w:tcW w:w="5921" w:type="dxa"/>
            <w:vAlign w:val="center"/>
          </w:tcPr>
          <w:p w14:paraId="05B5B422">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合作期间需有专职人员进行工作对接，人员变更需提前三个工作日报备。</w:t>
            </w:r>
          </w:p>
        </w:tc>
        <w:tc>
          <w:tcPr>
            <w:tcW w:w="1855" w:type="dxa"/>
            <w:vAlign w:val="center"/>
          </w:tcPr>
          <w:p w14:paraId="4F534506">
            <w:pPr>
              <w:keepNext w:val="0"/>
              <w:keepLines w:val="0"/>
              <w:pageBreakBefore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扣</w:t>
            </w:r>
            <w:r>
              <w:rPr>
                <w:rFonts w:hint="eastAsia" w:asciiTheme="minorEastAsia" w:hAnsiTheme="minorEastAsia" w:cstheme="minorEastAsia"/>
                <w:sz w:val="24"/>
                <w:szCs w:val="24"/>
                <w:vertAlign w:val="baseline"/>
                <w:lang w:val="en-US" w:eastAsia="zh-CN"/>
              </w:rPr>
              <w:t>2</w:t>
            </w:r>
            <w:r>
              <w:rPr>
                <w:rFonts w:hint="eastAsia" w:asciiTheme="minorEastAsia" w:hAnsiTheme="minorEastAsia" w:eastAsiaTheme="minorEastAsia" w:cstheme="minorEastAsia"/>
                <w:sz w:val="24"/>
                <w:szCs w:val="24"/>
                <w:vertAlign w:val="baseline"/>
                <w:lang w:val="en-US" w:eastAsia="zh-CN"/>
              </w:rPr>
              <w:t>分</w:t>
            </w:r>
          </w:p>
        </w:tc>
      </w:tr>
    </w:tbl>
    <w:p w14:paraId="534C6128">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（二）考核制度</w:t>
      </w:r>
    </w:p>
    <w:p w14:paraId="135E69BA">
      <w:pPr>
        <w:keepNext w:val="0"/>
        <w:keepLines w:val="0"/>
        <w:pageBreakBefore w:val="0"/>
        <w:kinsoku/>
        <w:wordWrap/>
        <w:overflowPunct/>
        <w:topLinePunct w:val="0"/>
        <w:autoSpaceDE/>
        <w:autoSpaceDN/>
        <w:bidi w:val="0"/>
        <w:adjustRightInd/>
        <w:snapToGrid/>
        <w:ind w:firstLine="640" w:firstLineChars="200"/>
        <w:textAlignment w:val="auto"/>
        <w:rPr>
          <w:rFonts w:hint="default"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1、满分100分制，每季度进行评分，合作期满3年前一个月根据每季度的考核平均分进行考核</w:t>
      </w:r>
      <w:bookmarkStart w:id="4" w:name="_GoBack"/>
      <w:bookmarkEnd w:id="4"/>
      <w:r>
        <w:rPr>
          <w:rFonts w:hint="eastAsia" w:ascii="仿宋" w:hAnsi="仿宋" w:eastAsia="仿宋" w:cs="Times New Roman"/>
          <w:sz w:val="32"/>
          <w:szCs w:val="32"/>
          <w:highlight w:val="none"/>
          <w:lang w:val="en-US" w:eastAsia="zh-CN"/>
        </w:rPr>
        <w:t>：</w:t>
      </w:r>
    </w:p>
    <w:p w14:paraId="01987CB6">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（1）85≤考核得分≤100分的，继续后两年合作协议；</w:t>
      </w:r>
    </w:p>
    <w:p w14:paraId="410A0E01">
      <w:pPr>
        <w:keepNext w:val="0"/>
        <w:keepLines w:val="0"/>
        <w:pageBreakBefore w:val="0"/>
        <w:kinsoku/>
        <w:wordWrap/>
        <w:overflowPunct/>
        <w:topLinePunct w:val="0"/>
        <w:autoSpaceDE/>
        <w:autoSpaceDN/>
        <w:bidi w:val="0"/>
        <w:adjustRightInd/>
        <w:snapToGrid/>
        <w:ind w:firstLine="640" w:firstLineChars="200"/>
        <w:textAlignment w:val="auto"/>
        <w:rPr>
          <w:rFonts w:hint="default"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（2）70≤考核得分＜85分的，我司有权提前解除合同，不承担违约责任。</w:t>
      </w:r>
    </w:p>
    <w:p w14:paraId="70CE2B53">
      <w:pPr>
        <w:keepNext w:val="0"/>
        <w:keepLines w:val="0"/>
        <w:pageBreakBefore w:val="0"/>
        <w:kinsoku/>
        <w:wordWrap/>
        <w:overflowPunct/>
        <w:topLinePunct w:val="0"/>
        <w:autoSpaceDE/>
        <w:autoSpaceDN/>
        <w:bidi w:val="0"/>
        <w:adjustRightInd/>
        <w:snapToGrid/>
        <w:ind w:firstLine="640" w:firstLineChars="200"/>
        <w:textAlignment w:val="auto"/>
      </w:pPr>
      <w:commentRangeStart w:id="10"/>
      <w:commentRangeStart w:id="11"/>
      <w:r>
        <w:rPr>
          <w:rFonts w:hint="eastAsia" w:ascii="仿宋" w:hAnsi="仿宋" w:eastAsia="仿宋" w:cs="Times New Roman"/>
          <w:sz w:val="32"/>
          <w:szCs w:val="32"/>
          <w:highlight w:val="none"/>
          <w:lang w:val="en-US" w:eastAsia="zh-CN"/>
        </w:rPr>
        <w:t>（3）＜70分的，终止合同，责令退出，没收履约保证金。</w:t>
      </w:r>
      <w:commentRangeEnd w:id="10"/>
      <w:r>
        <w:commentReference w:id="10"/>
      </w:r>
      <w:commentRangeEnd w:id="11"/>
      <w:r>
        <w:commentReference w:id="11"/>
      </w:r>
    </w:p>
    <w:p w14:paraId="333C6B05">
      <w:pPr>
        <w:pStyle w:val="2"/>
        <w:ind w:firstLine="640" w:firstLineChars="200"/>
        <w:rPr>
          <w:rFonts w:hint="eastAsia" w:ascii="仿宋" w:hAnsi="仿宋" w:eastAsia="仿宋" w:cs="Times New Roman"/>
          <w:kern w:val="2"/>
          <w:sz w:val="32"/>
          <w:szCs w:val="32"/>
          <w:highlight w:val="none"/>
          <w:lang w:val="en-US" w:eastAsia="zh-CN"/>
        </w:rPr>
      </w:pPr>
      <w:r>
        <w:rPr>
          <w:rFonts w:hint="eastAsia" w:ascii="仿宋" w:hAnsi="仿宋" w:eastAsia="仿宋" w:cs="Times New Roman"/>
          <w:kern w:val="2"/>
          <w:sz w:val="32"/>
          <w:szCs w:val="32"/>
          <w:highlight w:val="none"/>
          <w:lang w:val="en-US" w:eastAsia="zh-CN"/>
        </w:rPr>
        <w:t>2、合作期间若连续三个月考核分数低于70分，则我司有权提前解除合同，责令退出，并没收履约保证金。</w:t>
      </w:r>
    </w:p>
    <w:p w14:paraId="41A60599">
      <w:pPr>
        <w:pStyle w:val="2"/>
        <w:rPr>
          <w:rFonts w:hint="eastAsia" w:ascii="仿宋" w:hAnsi="仿宋" w:eastAsia="仿宋" w:cs="Times New Roman"/>
          <w:sz w:val="32"/>
          <w:szCs w:val="32"/>
          <w:highlight w:val="none"/>
          <w:lang w:val="en-US" w:eastAsia="zh-CN"/>
        </w:rPr>
      </w:pPr>
    </w:p>
    <w:p w14:paraId="6CB669B7">
      <w:pPr>
        <w:rPr>
          <w:rFonts w:hint="eastAsia"/>
          <w:lang w:val="en-US" w:eastAsia="zh-CN"/>
        </w:rPr>
      </w:pPr>
    </w:p>
    <w:p w14:paraId="23145A3A">
      <w:pPr>
        <w:keepNext w:val="0"/>
        <w:keepLines w:val="0"/>
        <w:pageBreakBefore w:val="0"/>
        <w:kinsoku/>
        <w:wordWrap w:val="0"/>
        <w:overflowPunct/>
        <w:topLinePunct w:val="0"/>
        <w:autoSpaceDE/>
        <w:autoSpaceDN/>
        <w:bidi w:val="0"/>
        <w:adjustRightInd/>
        <w:snapToGrid/>
        <w:ind w:firstLine="640" w:firstLineChars="200"/>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企发部    </w:t>
      </w:r>
    </w:p>
    <w:p w14:paraId="28135A70">
      <w:pPr>
        <w:keepNext w:val="0"/>
        <w:keepLines w:val="0"/>
        <w:pageBreakBefore w:val="0"/>
        <w:kinsoku/>
        <w:wordWrap/>
        <w:overflowPunct/>
        <w:topLinePunct w:val="0"/>
        <w:autoSpaceDE/>
        <w:autoSpaceDN/>
        <w:bidi w:val="0"/>
        <w:adjustRightInd/>
        <w:snapToGrid/>
        <w:ind w:firstLine="640" w:firstLineChars="200"/>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2024年12月17日</w:t>
      </w: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林翠萍" w:date="2025-01-17T17:44:04Z" w:initials="">
    <w:p w14:paraId="422F07CA">
      <w:pPr>
        <w:pStyle w:val="3"/>
        <w:rPr>
          <w:rFonts w:hint="default" w:eastAsiaTheme="minorEastAsia"/>
          <w:lang w:val="en-US" w:eastAsia="zh-CN"/>
        </w:rPr>
      </w:pPr>
      <w:r>
        <w:rPr>
          <w:rFonts w:hint="eastAsia"/>
          <w:lang w:val="en-US" w:eastAsia="zh-CN"/>
        </w:rPr>
        <w:t>双方合作经营，我司提供场地，合作方提供设备及产品以及具体运营，双方按照约定的收益分成模式进行分成。此处定义为我司收取综合管理费，与合作模式不符，建议论证修改。</w:t>
      </w:r>
    </w:p>
  </w:comment>
  <w:comment w:id="1" w:author="林翠萍" w:date="2025-01-17T17:46:27Z" w:initials="">
    <w:p w14:paraId="3C4B66BE">
      <w:pPr>
        <w:pStyle w:val="3"/>
        <w:rPr>
          <w:rFonts w:hint="default" w:eastAsiaTheme="minorEastAsia"/>
          <w:lang w:val="en-US" w:eastAsia="zh-CN"/>
        </w:rPr>
      </w:pPr>
      <w:r>
        <w:rPr>
          <w:rFonts w:hint="eastAsia"/>
          <w:lang w:val="en-US" w:eastAsia="zh-CN"/>
        </w:rPr>
        <w:t>考核建议放在3年期满前进行，才能做到真正的的3+2。同时，既然签订的是5年合同，是否约定考核不合格，我司有权解除合同即可？</w:t>
      </w:r>
    </w:p>
  </w:comment>
  <w:comment w:id="2" w:author="林翠萍" w:date="2025-01-17T17:48:11Z" w:initials="">
    <w:p w14:paraId="487776A8">
      <w:pPr>
        <w:pStyle w:val="3"/>
        <w:rPr>
          <w:rFonts w:hint="default" w:eastAsiaTheme="minorEastAsia"/>
          <w:lang w:val="en-US" w:eastAsia="zh-CN"/>
        </w:rPr>
      </w:pPr>
      <w:r>
        <w:rPr>
          <w:rFonts w:hint="eastAsia"/>
          <w:lang w:val="en-US" w:eastAsia="zh-CN"/>
        </w:rPr>
        <w:t>是否已经具备通电状态？如否，相关通电工作及费用由谁承担？</w:t>
      </w:r>
    </w:p>
  </w:comment>
  <w:comment w:id="3" w:author="林翠萍" w:date="2025-01-17T17:51:05Z" w:initials="">
    <w:p w14:paraId="2F3B7A8A">
      <w:pPr>
        <w:pStyle w:val="3"/>
        <w:rPr>
          <w:rFonts w:hint="default" w:eastAsiaTheme="minorEastAsia"/>
          <w:lang w:val="en-US" w:eastAsia="zh-CN"/>
        </w:rPr>
      </w:pPr>
      <w:r>
        <w:rPr>
          <w:rFonts w:hint="eastAsia"/>
          <w:lang w:val="en-US" w:eastAsia="zh-CN"/>
        </w:rPr>
        <w:t>建议明确自助售货机的上货及产品等由合作方提供。</w:t>
      </w:r>
    </w:p>
  </w:comment>
  <w:comment w:id="4" w:author="林翠萍" w:date="2025-01-17T18:01:37Z" w:initials="">
    <w:p w14:paraId="31A62C18">
      <w:pPr>
        <w:pStyle w:val="3"/>
        <w:rPr>
          <w:rFonts w:hint="default" w:eastAsiaTheme="minorEastAsia"/>
          <w:lang w:val="en-US" w:eastAsia="zh-CN"/>
        </w:rPr>
      </w:pPr>
      <w:r>
        <w:rPr>
          <w:rFonts w:hint="eastAsia"/>
          <w:lang w:val="en-US" w:eastAsia="zh-CN"/>
        </w:rPr>
        <w:t>请确认消防管理、服务质量是否可以由我司委托第三方实施？实施费用应由合作方承担，并按照每次200元的标准支付违约金。请确认该内容。</w:t>
      </w:r>
    </w:p>
  </w:comment>
  <w:comment w:id="5" w:author="林翠萍" w:date="2025-01-17T18:03:54Z" w:initials="">
    <w:p w14:paraId="0F9F05BE">
      <w:pPr>
        <w:pStyle w:val="3"/>
        <w:rPr>
          <w:rFonts w:hint="default" w:eastAsiaTheme="minorEastAsia"/>
          <w:lang w:val="en-US" w:eastAsia="zh-CN"/>
        </w:rPr>
      </w:pPr>
      <w:r>
        <w:rPr>
          <w:rFonts w:hint="eastAsia"/>
          <w:lang w:val="en-US" w:eastAsia="zh-CN"/>
        </w:rPr>
        <w:t>食品安全问题，对消费者的侵权责任应由合作方承担，请增加该内容。</w:t>
      </w:r>
    </w:p>
  </w:comment>
  <w:comment w:id="6" w:author="林翠萍" w:date="2025-01-17T18:05:30Z" w:initials="">
    <w:p w14:paraId="51CF0230">
      <w:pPr>
        <w:pStyle w:val="3"/>
        <w:rPr>
          <w:rFonts w:hint="default" w:eastAsiaTheme="minorEastAsia"/>
          <w:lang w:val="en-US" w:eastAsia="zh-CN"/>
        </w:rPr>
      </w:pPr>
      <w:r>
        <w:rPr>
          <w:rFonts w:hint="eastAsia"/>
          <w:lang w:val="en-US" w:eastAsia="zh-CN"/>
        </w:rPr>
        <w:t>这里是指经营的产品范围，还是经营的场地范围？请明确。</w:t>
      </w:r>
    </w:p>
  </w:comment>
  <w:comment w:id="7" w:author="林翠萍" w:date="2025-01-17T18:06:34Z" w:initials="">
    <w:p w14:paraId="7BC3252F">
      <w:pPr>
        <w:pStyle w:val="3"/>
        <w:rPr>
          <w:rFonts w:hint="default" w:eastAsiaTheme="minorEastAsia"/>
          <w:lang w:val="en-US" w:eastAsia="zh-CN"/>
        </w:rPr>
      </w:pPr>
      <w:r>
        <w:rPr>
          <w:rFonts w:hint="eastAsia"/>
          <w:lang w:val="en-US" w:eastAsia="zh-CN"/>
        </w:rPr>
        <w:t>和第二条（三）项的合作形式存在重复，建议整合。并按照前述意见修改。</w:t>
      </w:r>
    </w:p>
  </w:comment>
  <w:comment w:id="8" w:author="林翠萍" w:date="2025-01-17T18:09:04Z" w:initials="">
    <w:p w14:paraId="60AE3121">
      <w:pPr>
        <w:pStyle w:val="3"/>
        <w:rPr>
          <w:rFonts w:hint="default" w:eastAsiaTheme="minorEastAsia"/>
          <w:lang w:val="en-US" w:eastAsia="zh-CN"/>
        </w:rPr>
      </w:pPr>
      <w:r>
        <w:rPr>
          <w:rFonts w:hint="eastAsia"/>
          <w:lang w:val="en-US" w:eastAsia="zh-CN"/>
        </w:rPr>
        <w:t>是进入其账户还是有个收费系统？</w:t>
      </w:r>
    </w:p>
  </w:comment>
  <w:comment w:id="9" w:author="林翠萍" w:date="2025-01-17T18:14:24Z" w:initials="">
    <w:p w14:paraId="2AB83BDE">
      <w:pPr>
        <w:pStyle w:val="3"/>
        <w:rPr>
          <w:rFonts w:hint="default" w:eastAsiaTheme="minorEastAsia"/>
          <w:lang w:val="en-US" w:eastAsia="zh-CN"/>
        </w:rPr>
      </w:pPr>
      <w:r>
        <w:rPr>
          <w:rFonts w:hint="eastAsia"/>
          <w:lang w:val="en-US" w:eastAsia="zh-CN"/>
        </w:rPr>
        <w:t>扣分规则都是每次扣分，那么这里的每次具体指的什么每次，建议明确避免歧义。</w:t>
      </w:r>
    </w:p>
  </w:comment>
  <w:comment w:id="10" w:author="林翠萍" w:date="2025-01-17T18:18:04Z" w:initials="">
    <w:p w14:paraId="686353B1">
      <w:pPr>
        <w:pStyle w:val="3"/>
        <w:rPr>
          <w:rFonts w:hint="default" w:eastAsiaTheme="minorEastAsia"/>
          <w:lang w:val="en-US" w:eastAsia="zh-CN"/>
        </w:rPr>
      </w:pPr>
      <w:r>
        <w:rPr>
          <w:rFonts w:hint="eastAsia"/>
          <w:lang w:val="en-US" w:eastAsia="zh-CN"/>
        </w:rPr>
        <w:t>如前三年每季度都是低于70分，还要等到三年后解除？</w:t>
      </w:r>
    </w:p>
  </w:comment>
  <w:comment w:id="11" w:author="卓卓" w:date="2025-01-17T19:33:47Z" w:initials="卓">
    <w:p w14:paraId="7D57AE74">
      <w:pPr>
        <w:pStyle w:val="3"/>
        <w:rPr>
          <w:rFonts w:hint="default" w:eastAsiaTheme="minorEastAsia"/>
          <w:lang w:val="en-US" w:eastAsia="zh-CN"/>
        </w:rPr>
      </w:pPr>
      <w:r>
        <w:rPr>
          <w:rFonts w:hint="eastAsia"/>
          <w:lang w:val="en-US" w:eastAsia="zh-CN"/>
        </w:rPr>
        <w:t>已增加此情况考核制度</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22F07CA" w15:done="0"/>
  <w15:commentEx w15:paraId="3C4B66BE" w15:done="0"/>
  <w15:commentEx w15:paraId="487776A8" w15:done="0"/>
  <w15:commentEx w15:paraId="2F3B7A8A" w15:done="0"/>
  <w15:commentEx w15:paraId="31A62C18" w15:done="0"/>
  <w15:commentEx w15:paraId="0F9F05BE" w15:done="0"/>
  <w15:commentEx w15:paraId="51CF0230" w15:done="0"/>
  <w15:commentEx w15:paraId="7BC3252F" w15:done="0"/>
  <w15:commentEx w15:paraId="60AE3121" w15:done="0"/>
  <w15:commentEx w15:paraId="2AB83BDE" w15:done="0"/>
  <w15:commentEx w15:paraId="686353B1" w15:done="0"/>
  <w15:commentEx w15:paraId="7D57AE74" w15:done="0" w15:paraIdParent="686353B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林翠萍">
    <w15:presenceInfo w15:providerId="None" w15:userId="林翠萍"/>
  </w15:person>
  <w15:person w15:author="卓卓">
    <w15:presenceInfo w15:providerId="None" w15:userId="卓卓"/>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C4BFC"/>
    <w:rsid w:val="00D53FB0"/>
    <w:rsid w:val="020749C1"/>
    <w:rsid w:val="022337F3"/>
    <w:rsid w:val="02BE3269"/>
    <w:rsid w:val="03692188"/>
    <w:rsid w:val="045D024B"/>
    <w:rsid w:val="047A5E96"/>
    <w:rsid w:val="05722948"/>
    <w:rsid w:val="05B03E4D"/>
    <w:rsid w:val="06663EB2"/>
    <w:rsid w:val="06B640E0"/>
    <w:rsid w:val="07AB0D47"/>
    <w:rsid w:val="07DF6DA3"/>
    <w:rsid w:val="085016E7"/>
    <w:rsid w:val="087B0769"/>
    <w:rsid w:val="0B57748E"/>
    <w:rsid w:val="0BFA3B34"/>
    <w:rsid w:val="0C382B5E"/>
    <w:rsid w:val="0CD73D3A"/>
    <w:rsid w:val="0D165E44"/>
    <w:rsid w:val="0D9C7338"/>
    <w:rsid w:val="0E716DEE"/>
    <w:rsid w:val="0FAA15B1"/>
    <w:rsid w:val="10BE13FF"/>
    <w:rsid w:val="11680249"/>
    <w:rsid w:val="12D25643"/>
    <w:rsid w:val="13477643"/>
    <w:rsid w:val="13C8752B"/>
    <w:rsid w:val="14836E5A"/>
    <w:rsid w:val="14B01C88"/>
    <w:rsid w:val="15894CB7"/>
    <w:rsid w:val="15BD3128"/>
    <w:rsid w:val="16922863"/>
    <w:rsid w:val="169D266C"/>
    <w:rsid w:val="16E23C31"/>
    <w:rsid w:val="172527C4"/>
    <w:rsid w:val="182A3C2D"/>
    <w:rsid w:val="18576511"/>
    <w:rsid w:val="18D5302F"/>
    <w:rsid w:val="194C4D5C"/>
    <w:rsid w:val="195B7488"/>
    <w:rsid w:val="19963127"/>
    <w:rsid w:val="1A3C7381"/>
    <w:rsid w:val="1D785075"/>
    <w:rsid w:val="1E1C42DC"/>
    <w:rsid w:val="1F066B90"/>
    <w:rsid w:val="21416018"/>
    <w:rsid w:val="215E551D"/>
    <w:rsid w:val="22DE6878"/>
    <w:rsid w:val="22E818C6"/>
    <w:rsid w:val="23657838"/>
    <w:rsid w:val="236B5DA8"/>
    <w:rsid w:val="243C4C97"/>
    <w:rsid w:val="245876CB"/>
    <w:rsid w:val="26275F06"/>
    <w:rsid w:val="26B93516"/>
    <w:rsid w:val="26CB6402"/>
    <w:rsid w:val="27170588"/>
    <w:rsid w:val="285F1FF9"/>
    <w:rsid w:val="2889352F"/>
    <w:rsid w:val="29336BB5"/>
    <w:rsid w:val="29776E7C"/>
    <w:rsid w:val="297D17EA"/>
    <w:rsid w:val="29986E8A"/>
    <w:rsid w:val="2AE76B06"/>
    <w:rsid w:val="2BF412A3"/>
    <w:rsid w:val="2C974FFE"/>
    <w:rsid w:val="2DB96CBD"/>
    <w:rsid w:val="2E6C7255"/>
    <w:rsid w:val="2ECF3DC7"/>
    <w:rsid w:val="2EE17625"/>
    <w:rsid w:val="2EFF4873"/>
    <w:rsid w:val="2F350E45"/>
    <w:rsid w:val="2F491016"/>
    <w:rsid w:val="2FD55998"/>
    <w:rsid w:val="30754A49"/>
    <w:rsid w:val="308D64B8"/>
    <w:rsid w:val="3186514E"/>
    <w:rsid w:val="31FE0769"/>
    <w:rsid w:val="32184FC7"/>
    <w:rsid w:val="33513E6B"/>
    <w:rsid w:val="338A4013"/>
    <w:rsid w:val="33C407C1"/>
    <w:rsid w:val="33F46003"/>
    <w:rsid w:val="355B7C4B"/>
    <w:rsid w:val="35895049"/>
    <w:rsid w:val="35C2793F"/>
    <w:rsid w:val="35D57188"/>
    <w:rsid w:val="37C52E4E"/>
    <w:rsid w:val="387B106E"/>
    <w:rsid w:val="38CC219D"/>
    <w:rsid w:val="39692ADD"/>
    <w:rsid w:val="3984675B"/>
    <w:rsid w:val="3A261033"/>
    <w:rsid w:val="3A7F2489"/>
    <w:rsid w:val="3AC42988"/>
    <w:rsid w:val="3AE558B8"/>
    <w:rsid w:val="3B690947"/>
    <w:rsid w:val="3B8A52D5"/>
    <w:rsid w:val="3BBE3FEA"/>
    <w:rsid w:val="3C237ACB"/>
    <w:rsid w:val="3C2E691E"/>
    <w:rsid w:val="3CD2785D"/>
    <w:rsid w:val="3CE75B27"/>
    <w:rsid w:val="3D010E3D"/>
    <w:rsid w:val="3DB37CB7"/>
    <w:rsid w:val="3DE046D7"/>
    <w:rsid w:val="3E067440"/>
    <w:rsid w:val="3E621809"/>
    <w:rsid w:val="3EF75228"/>
    <w:rsid w:val="3F7F2AB2"/>
    <w:rsid w:val="40222CFB"/>
    <w:rsid w:val="40EC52DC"/>
    <w:rsid w:val="412F7126"/>
    <w:rsid w:val="435F6926"/>
    <w:rsid w:val="45694F4A"/>
    <w:rsid w:val="46F01078"/>
    <w:rsid w:val="470212D8"/>
    <w:rsid w:val="47B65230"/>
    <w:rsid w:val="47D65A32"/>
    <w:rsid w:val="47F41C6A"/>
    <w:rsid w:val="495D5A32"/>
    <w:rsid w:val="495F3F78"/>
    <w:rsid w:val="4B326A04"/>
    <w:rsid w:val="4CE640D9"/>
    <w:rsid w:val="4D960806"/>
    <w:rsid w:val="4E027C7D"/>
    <w:rsid w:val="4E3D2C2F"/>
    <w:rsid w:val="4EC3468E"/>
    <w:rsid w:val="53186C58"/>
    <w:rsid w:val="55541CA0"/>
    <w:rsid w:val="555B47E6"/>
    <w:rsid w:val="55FE0553"/>
    <w:rsid w:val="564E08D4"/>
    <w:rsid w:val="565130C4"/>
    <w:rsid w:val="56753A75"/>
    <w:rsid w:val="57793EDF"/>
    <w:rsid w:val="58D15D81"/>
    <w:rsid w:val="595F7988"/>
    <w:rsid w:val="5A5B2EA5"/>
    <w:rsid w:val="5B1B63E9"/>
    <w:rsid w:val="5BCE6939"/>
    <w:rsid w:val="5CFB2D76"/>
    <w:rsid w:val="5D3A3A90"/>
    <w:rsid w:val="5D50176F"/>
    <w:rsid w:val="5D9241B9"/>
    <w:rsid w:val="6018012D"/>
    <w:rsid w:val="62E33688"/>
    <w:rsid w:val="62E827B8"/>
    <w:rsid w:val="630D7B73"/>
    <w:rsid w:val="645D737C"/>
    <w:rsid w:val="64A30E95"/>
    <w:rsid w:val="667D6F79"/>
    <w:rsid w:val="668401CF"/>
    <w:rsid w:val="66F20F73"/>
    <w:rsid w:val="67BD3AEB"/>
    <w:rsid w:val="69210AF3"/>
    <w:rsid w:val="6B752D2C"/>
    <w:rsid w:val="6C9E7BD7"/>
    <w:rsid w:val="6D5C3463"/>
    <w:rsid w:val="6D8D1A16"/>
    <w:rsid w:val="6E6B3E5A"/>
    <w:rsid w:val="6F2E43F7"/>
    <w:rsid w:val="6F4003AB"/>
    <w:rsid w:val="6F7717FE"/>
    <w:rsid w:val="700267B5"/>
    <w:rsid w:val="71E72F14"/>
    <w:rsid w:val="72ED0013"/>
    <w:rsid w:val="73227651"/>
    <w:rsid w:val="73624FFB"/>
    <w:rsid w:val="74422739"/>
    <w:rsid w:val="74E90149"/>
    <w:rsid w:val="755B1FFE"/>
    <w:rsid w:val="775322FD"/>
    <w:rsid w:val="775433A3"/>
    <w:rsid w:val="776140C2"/>
    <w:rsid w:val="778B39B9"/>
    <w:rsid w:val="782300AB"/>
    <w:rsid w:val="78A35D0E"/>
    <w:rsid w:val="78B12654"/>
    <w:rsid w:val="78DB0128"/>
    <w:rsid w:val="79FA0912"/>
    <w:rsid w:val="7A815A7C"/>
    <w:rsid w:val="7B9744FE"/>
    <w:rsid w:val="7C027403"/>
    <w:rsid w:val="7C13427A"/>
    <w:rsid w:val="7C981051"/>
    <w:rsid w:val="7CBC438C"/>
    <w:rsid w:val="7D7F26A2"/>
    <w:rsid w:val="7D951E16"/>
    <w:rsid w:val="7E165FB5"/>
    <w:rsid w:val="7F5C3A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rPr>
      <w:kern w:val="0"/>
      <w:sz w:val="20"/>
      <w:szCs w:val="20"/>
    </w:rPr>
  </w:style>
  <w:style w:type="paragraph" w:styleId="3">
    <w:name w:val="annotation text"/>
    <w:basedOn w:val="1"/>
    <w:unhideWhenUsed/>
    <w:qFormat/>
    <w:uiPriority w:val="99"/>
    <w:pPr>
      <w:jc w:val="left"/>
    </w:pPr>
  </w:style>
  <w:style w:type="paragraph" w:styleId="4">
    <w:name w:val="Normal (Web)"/>
    <w:basedOn w:val="1"/>
    <w:qFormat/>
    <w:uiPriority w:val="0"/>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null3"/>
    <w:qFormat/>
    <w:uiPriority w:val="0"/>
    <w:rPr>
      <w:rFonts w:hint="eastAsia"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3534</Words>
  <Characters>3574</Characters>
  <Lines>0</Lines>
  <Paragraphs>0</Paragraphs>
  <TotalTime>1</TotalTime>
  <ScaleCrop>false</ScaleCrop>
  <LinksUpToDate>false</LinksUpToDate>
  <CharactersWithSpaces>3578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2022-06-27T02:36:00Z</dcterms:created>
  <dc:creator>lenovo</dc:creator>
  <cp:lastModifiedBy>卓卓</cp:lastModifiedBy>
  <cp:lastPrinted>2025-01-02T06:41:00Z</cp:lastPrinted>
  <dcterms:modified xsi:type="dcterms:W3CDTF">2025-01-21T06:07:30Z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eyJoZGlkIjoiNDJkYzI5YjJjYzcyZDM2OTczNmY4MTRkZGVmZWNjZDYiLCJ1c2VySWQiOiIxMzk0NTU2ODgyIn0=</vt:lpwstr>
  </property>
  <property fmtid="{D5CDD505-2E9C-101B-9397-08002B2CF9AE}" pid="4" name="ICV">
    <vt:lpwstr>78A996063CF74F1CAE84C5F43704D26A_12</vt:lpwstr>
  </property>
</Properties>
</file>