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2B43E">
      <w:pPr>
        <w:keepNext w:val="0"/>
        <w:keepLines w:val="0"/>
        <w:pageBreakBefore w:val="0"/>
        <w:widowControl w:val="0"/>
        <w:kinsoku/>
        <w:wordWrap/>
        <w:overflowPunct/>
        <w:topLinePunct w:val="0"/>
        <w:autoSpaceDE/>
        <w:autoSpaceDN/>
        <w:bidi w:val="0"/>
        <w:adjustRightInd/>
        <w:snapToGrid/>
        <w:spacing w:after="0" w:line="520" w:lineRule="exact"/>
        <w:jc w:val="left"/>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附件3</w:t>
      </w:r>
    </w:p>
    <w:p w14:paraId="1ACD7962">
      <w:pPr>
        <w:keepNext w:val="0"/>
        <w:keepLines w:val="0"/>
        <w:pageBreakBefore w:val="0"/>
        <w:widowControl w:val="0"/>
        <w:kinsoku/>
        <w:wordWrap/>
        <w:overflowPunct/>
        <w:topLinePunct w:val="0"/>
        <w:autoSpaceDE/>
        <w:autoSpaceDN/>
        <w:bidi w:val="0"/>
        <w:adjustRightInd/>
        <w:snapToGrid/>
        <w:spacing w:after="0" w:line="520" w:lineRule="exact"/>
        <w:jc w:val="center"/>
        <w:textAlignment w:val="auto"/>
        <w:outlineLvl w:val="0"/>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抖音</w:t>
      </w:r>
      <w:r>
        <w:rPr>
          <w:rFonts w:hint="eastAsia" w:ascii="方正小标宋简体" w:hAnsi="方正小标宋简体" w:eastAsia="方正小标宋简体" w:cs="方正小标宋简体"/>
          <w:color w:val="auto"/>
          <w:sz w:val="44"/>
          <w:szCs w:val="44"/>
          <w:lang w:val="en-US" w:eastAsia="zh-CN"/>
        </w:rPr>
        <w:t>平台</w:t>
      </w:r>
      <w:r>
        <w:rPr>
          <w:rFonts w:hint="eastAsia" w:ascii="方正小标宋简体" w:hAnsi="方正小标宋简体" w:eastAsia="方正小标宋简体" w:cs="方正小标宋简体"/>
          <w:color w:val="auto"/>
          <w:sz w:val="44"/>
          <w:szCs w:val="44"/>
        </w:rPr>
        <w:t>技术服务协议</w:t>
      </w:r>
    </w:p>
    <w:p w14:paraId="74360F56">
      <w:pPr>
        <w:keepNext w:val="0"/>
        <w:keepLines w:val="0"/>
        <w:pageBreakBefore w:val="0"/>
        <w:widowControl w:val="0"/>
        <w:kinsoku/>
        <w:wordWrap/>
        <w:overflowPunct/>
        <w:topLinePunct w:val="0"/>
        <w:autoSpaceDE/>
        <w:autoSpaceDN/>
        <w:bidi w:val="0"/>
        <w:adjustRightInd/>
        <w:snapToGrid/>
        <w:spacing w:after="0" w:line="520" w:lineRule="exact"/>
        <w:ind w:right="960"/>
        <w:jc w:val="right"/>
        <w:textAlignment w:val="auto"/>
        <w:rPr>
          <w:rFonts w:ascii="仿宋" w:hAnsi="仿宋" w:eastAsia="仿宋" w:cs="宋体"/>
          <w:b/>
          <w:color w:val="auto"/>
          <w:sz w:val="24"/>
          <w:szCs w:val="24"/>
          <w:lang w:eastAsia="zh-CN"/>
        </w:rPr>
      </w:pPr>
    </w:p>
    <w:p w14:paraId="36EABAC1">
      <w:pPr>
        <w:keepNext w:val="0"/>
        <w:keepLines w:val="0"/>
        <w:pageBreakBefore w:val="0"/>
        <w:widowControl w:val="0"/>
        <w:kinsoku/>
        <w:wordWrap/>
        <w:overflowPunct/>
        <w:topLinePunct w:val="0"/>
        <w:autoSpaceDE/>
        <w:autoSpaceDN/>
        <w:bidi w:val="0"/>
        <w:adjustRightInd/>
        <w:snapToGrid/>
        <w:spacing w:after="0" w:line="520" w:lineRule="exact"/>
        <w:ind w:right="0"/>
        <w:jc w:val="center"/>
        <w:textAlignment w:val="auto"/>
        <w:outlineLvl w:val="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合同编号：</w:t>
      </w:r>
    </w:p>
    <w:p w14:paraId="5EAADBB9">
      <w:pPr>
        <w:keepNext w:val="0"/>
        <w:keepLines w:val="0"/>
        <w:pageBreakBefore w:val="0"/>
        <w:widowControl w:val="0"/>
        <w:kinsoku/>
        <w:wordWrap/>
        <w:overflowPunct/>
        <w:topLinePunct w:val="0"/>
        <w:autoSpaceDE/>
        <w:autoSpaceDN/>
        <w:bidi w:val="0"/>
        <w:spacing w:afterAutospacing="0" w:line="520" w:lineRule="exact"/>
        <w:textAlignment w:val="auto"/>
        <w:rPr>
          <w:rFonts w:hint="eastAsia" w:ascii="仿宋" w:hAnsi="仿宋" w:eastAsia="仿宋" w:cs="仿宋"/>
          <w:b/>
          <w:color w:val="FF0000"/>
          <w:sz w:val="28"/>
          <w:szCs w:val="28"/>
        </w:rPr>
      </w:pPr>
    </w:p>
    <w:p w14:paraId="5E3FCCE9">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u w:val="none"/>
          <w:lang w:eastAsia="zh-CN"/>
        </w:rPr>
      </w:pPr>
      <w:r>
        <w:rPr>
          <w:rFonts w:hint="eastAsia" w:ascii="仿宋_GB2312" w:hAnsi="仿宋_GB2312" w:eastAsia="仿宋_GB2312" w:cs="仿宋_GB2312"/>
          <w:sz w:val="28"/>
          <w:szCs w:val="28"/>
          <w:highlight w:val="none"/>
        </w:rPr>
        <w:t>甲方（以下称甲方）：</w:t>
      </w:r>
      <w:r>
        <w:rPr>
          <w:rFonts w:hint="eastAsia" w:ascii="仿宋_GB2312" w:hAnsi="仿宋_GB2312" w:eastAsia="仿宋_GB2312" w:cs="仿宋_GB2312"/>
          <w:sz w:val="28"/>
          <w:szCs w:val="28"/>
          <w:highlight w:val="none"/>
          <w:u w:val="none"/>
          <w:lang w:eastAsia="zh-CN"/>
        </w:rPr>
        <w:t>福州市水务文化旅游有限公司</w:t>
      </w:r>
    </w:p>
    <w:p w14:paraId="05B6EBE1">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u w:val="none"/>
          <w:lang w:eastAsia="zh-CN"/>
        </w:rPr>
      </w:pPr>
    </w:p>
    <w:p w14:paraId="1B8CB3F4">
      <w:pPr>
        <w:shd w:val="solid" w:color="FFFFFF" w:fill="auto"/>
        <w:autoSpaceDN w:val="0"/>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乙方（以下称乙方）：</w:t>
      </w:r>
    </w:p>
    <w:p w14:paraId="1901ECFF">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rPr>
      </w:pPr>
    </w:p>
    <w:p w14:paraId="2546473A">
      <w:pPr>
        <w:keepNext w:val="0"/>
        <w:keepLines w:val="0"/>
        <w:pageBreakBefore w:val="0"/>
        <w:widowControl w:val="0"/>
        <w:kinsoku/>
        <w:wordWrap/>
        <w:overflowPunct/>
        <w:topLinePunct w:val="0"/>
        <w:autoSpaceDE/>
        <w:autoSpaceDN/>
        <w:bidi w:val="0"/>
        <w:adjustRightInd/>
        <w:snapToGrid/>
        <w:spacing w:afterAutospacing="0" w:line="52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根据《中华人民共和国</w:t>
      </w:r>
      <w:r>
        <w:rPr>
          <w:rFonts w:hint="eastAsia" w:ascii="仿宋_GB2312" w:hAnsi="仿宋_GB2312" w:eastAsia="仿宋_GB2312" w:cs="仿宋_GB2312"/>
          <w:sz w:val="28"/>
          <w:szCs w:val="28"/>
          <w:highlight w:val="none"/>
          <w:lang w:val="en-US" w:eastAsia="zh-CN"/>
        </w:rPr>
        <w:t>民法典</w:t>
      </w:r>
      <w:r>
        <w:rPr>
          <w:rFonts w:hint="eastAsia" w:ascii="仿宋_GB2312" w:hAnsi="仿宋_GB2312" w:eastAsia="仿宋_GB2312" w:cs="仿宋_GB2312"/>
          <w:sz w:val="28"/>
          <w:szCs w:val="28"/>
          <w:highlight w:val="none"/>
        </w:rPr>
        <w:t>》等有关法律、法规的规定，遵循平等、自愿、公平和诚实的原则，经过双方友好协商，签订</w:t>
      </w:r>
      <w:r>
        <w:rPr>
          <w:rFonts w:hint="eastAsia" w:ascii="仿宋_GB2312" w:hAnsi="仿宋_GB2312" w:eastAsia="仿宋_GB2312" w:cs="仿宋_GB2312"/>
          <w:sz w:val="28"/>
          <w:szCs w:val="28"/>
          <w:highlight w:val="none"/>
          <w:u w:val="single"/>
          <w:lang w:val="en-US" w:eastAsia="zh-CN"/>
        </w:rPr>
        <w:t xml:space="preserve">  水务文旅等项目  </w:t>
      </w:r>
      <w:r>
        <w:rPr>
          <w:rFonts w:hint="eastAsia" w:ascii="仿宋_GB2312" w:hAnsi="仿宋_GB2312" w:eastAsia="仿宋_GB2312" w:cs="仿宋_GB2312"/>
          <w:sz w:val="28"/>
          <w:szCs w:val="28"/>
          <w:highlight w:val="none"/>
          <w:lang w:val="en-US" w:eastAsia="zh-CN"/>
        </w:rPr>
        <w:t>抖音造流量和抖音团购代运营技术服务</w:t>
      </w:r>
      <w:r>
        <w:rPr>
          <w:rFonts w:hint="eastAsia" w:ascii="仿宋_GB2312" w:hAnsi="仿宋_GB2312" w:eastAsia="仿宋_GB2312" w:cs="仿宋_GB2312"/>
          <w:sz w:val="28"/>
          <w:szCs w:val="28"/>
          <w:highlight w:val="none"/>
        </w:rPr>
        <w:t>协议如下：</w:t>
      </w:r>
    </w:p>
    <w:p w14:paraId="521AAC4D">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z w:val="28"/>
          <w:szCs w:val="28"/>
          <w:highlight w:val="none"/>
          <w:lang w:val="en-US" w:eastAsia="zh-CN"/>
        </w:rPr>
        <w:t>一、</w:t>
      </w:r>
      <w:r>
        <w:rPr>
          <w:rFonts w:hint="eastAsia" w:ascii="仿宋_GB2312" w:hAnsi="仿宋_GB2312" w:eastAsia="仿宋_GB2312" w:cs="仿宋_GB2312"/>
          <w:b/>
          <w:bCs w:val="0"/>
          <w:sz w:val="28"/>
          <w:szCs w:val="28"/>
          <w:highlight w:val="none"/>
          <w:lang w:eastAsia="zh-CN"/>
        </w:rPr>
        <w:t>服务</w:t>
      </w:r>
      <w:r>
        <w:rPr>
          <w:rFonts w:hint="eastAsia" w:ascii="仿宋_GB2312" w:hAnsi="仿宋_GB2312" w:eastAsia="仿宋_GB2312" w:cs="仿宋_GB2312"/>
          <w:b/>
          <w:bCs w:val="0"/>
          <w:sz w:val="28"/>
          <w:szCs w:val="28"/>
          <w:highlight w:val="none"/>
        </w:rPr>
        <w:t>内容</w:t>
      </w:r>
    </w:p>
    <w:p w14:paraId="3224FD6C">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1、服务内容：乙方为甲方产品的线上销售提供技术服务，甲方提供产品所需的接待服务。</w:t>
      </w:r>
    </w:p>
    <w:p w14:paraId="450DD5C2">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2、接待服务：甲方同意接待通过乙方平台销售产生的客户，即为上述乙方平台客户提供其产品所需全部服务，包括但不限于产品必要的预订、安排及接待服务。</w:t>
      </w:r>
    </w:p>
    <w:p w14:paraId="0261CB05">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技术服务：乙方同意为甲方产品的新媒体销售提供技术服务，甲方产品在乙方指定的系统平台进行销售。甲方负责提供活动产品包含的全部服务项目，或者和乙方共同研发新的项目和产品。甲、乙双方共同商定结算价格，乙方根据甲方的建议销售价格确定乙方平台销售价格，抖音官方软件服务费从甲方结算款项中扣减，根据甲方与抖音官方《软件服务费返还协议》产生的佣金返还由甲方自行收取（具体返还比例以甲方与抖音协议为准）。</w:t>
      </w:r>
    </w:p>
    <w:p w14:paraId="439E3F72">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 xml:space="preserve"> 二、服务套餐类型及明细</w:t>
      </w:r>
    </w:p>
    <w:p w14:paraId="0D7841FC">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1、服务套餐如下：</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5"/>
        <w:gridCol w:w="2615"/>
        <w:gridCol w:w="2839"/>
      </w:tblGrid>
      <w:tr w14:paraId="2E12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1799" w:type="pct"/>
            <w:vAlign w:val="center"/>
          </w:tcPr>
          <w:p w14:paraId="7E277C19">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套餐名：以抖音平台线上提供的相关产品为准</w:t>
            </w:r>
          </w:p>
        </w:tc>
        <w:tc>
          <w:tcPr>
            <w:tcW w:w="1535" w:type="pct"/>
            <w:vAlign w:val="center"/>
          </w:tcPr>
          <w:p w14:paraId="0099BB44">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商户结算款项（即销售金额扣除乙方服务费后的金额，单位：元）</w:t>
            </w:r>
          </w:p>
        </w:tc>
        <w:tc>
          <w:tcPr>
            <w:tcW w:w="1665" w:type="pct"/>
            <w:vAlign w:val="center"/>
          </w:tcPr>
          <w:p w14:paraId="2E8BF92B">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套餐内容 使用规则：以抖音平台线上提供的相关产品为准</w:t>
            </w:r>
          </w:p>
        </w:tc>
      </w:tr>
      <w:tr w14:paraId="1E3A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pct"/>
          </w:tcPr>
          <w:p w14:paraId="3558BD1B">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水务文旅在运营内河游船项目</w:t>
            </w:r>
          </w:p>
        </w:tc>
        <w:tc>
          <w:tcPr>
            <w:tcW w:w="3200" w:type="pct"/>
            <w:gridSpan w:val="2"/>
            <w:vMerge w:val="restart"/>
            <w:vAlign w:val="center"/>
          </w:tcPr>
          <w:p w14:paraId="09A053B5">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以甲方通知为准</w:t>
            </w:r>
          </w:p>
        </w:tc>
      </w:tr>
      <w:tr w14:paraId="3526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pct"/>
          </w:tcPr>
          <w:p w14:paraId="5ECD7209">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水务文旅福州分公司在运营各公园相关业态</w:t>
            </w:r>
          </w:p>
        </w:tc>
        <w:tc>
          <w:tcPr>
            <w:tcW w:w="3200" w:type="pct"/>
            <w:gridSpan w:val="2"/>
            <w:vMerge w:val="continue"/>
          </w:tcPr>
          <w:p w14:paraId="271E3DF2">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p>
        </w:tc>
      </w:tr>
      <w:tr w14:paraId="71F7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000" w:type="pct"/>
            <w:gridSpan w:val="3"/>
          </w:tcPr>
          <w:p w14:paraId="071229EE">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1、协议期内，甲方可另行通知乙方新增套餐（包含但不限于新增码头、新增游玩项目等）</w:t>
            </w:r>
          </w:p>
          <w:p w14:paraId="4329C702">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2、乙方按销售金额的--%收取服务费（</w:t>
            </w:r>
            <w:r>
              <w:rPr>
                <w:rFonts w:hint="eastAsia" w:ascii="仿宋_GB2312" w:hAnsi="仿宋_GB2312" w:eastAsia="仿宋_GB2312" w:cs="仿宋_GB2312"/>
                <w:sz w:val="28"/>
                <w:szCs w:val="28"/>
                <w:highlight w:val="none"/>
              </w:rPr>
              <w:t>已包含抖音达人CPS佣金</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不含抖音官方软件服务费）</w:t>
            </w:r>
          </w:p>
          <w:p w14:paraId="11AF4C93">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3、商户地址：以甲方通知为准</w:t>
            </w:r>
          </w:p>
        </w:tc>
      </w:tr>
    </w:tbl>
    <w:p w14:paraId="0A243228">
      <w:pPr>
        <w:keepNext w:val="0"/>
        <w:keepLines w:val="0"/>
        <w:pageBreakBefore w:val="0"/>
        <w:widowControl w:val="0"/>
        <w:kinsoku/>
        <w:wordWrap/>
        <w:overflowPunct/>
        <w:topLinePunct w:val="0"/>
        <w:autoSpaceDE/>
        <w:autoSpaceDN/>
        <w:bidi w:val="0"/>
        <w:adjustRightInd/>
        <w:snapToGrid/>
        <w:spacing w:afterAutospacing="0" w:line="520" w:lineRule="exact"/>
        <w:ind w:firstLine="280" w:firstLineChars="1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2、甲乙双方协议期内，乙方免费提供以下服务包：</w:t>
      </w:r>
    </w:p>
    <w:p w14:paraId="4BDD8A5F">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①------；</w:t>
      </w:r>
    </w:p>
    <w:p w14:paraId="1375A037">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②------；</w:t>
      </w:r>
    </w:p>
    <w:p w14:paraId="5B29963D">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③------；</w:t>
      </w:r>
    </w:p>
    <w:p w14:paraId="64F8E203">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甲、乙双方签约后，乙方开始提供服务包内容。乙方账户见下</w:t>
      </w:r>
    </w:p>
    <w:tbl>
      <w:tblPr>
        <w:tblStyle w:val="7"/>
        <w:tblpPr w:leftFromText="180" w:rightFromText="180" w:vertAnchor="text" w:horzAnchor="page" w:tblpX="2102" w:tblpY="77"/>
        <w:tblOverlap w:val="never"/>
        <w:tblW w:w="7967" w:type="dxa"/>
        <w:tblInd w:w="0" w:type="dxa"/>
        <w:tblBorders>
          <w:top w:val="thinThickMediumGap" w:color="auto" w:sz="24" w:space="0"/>
          <w:left w:val="thinThickMediumGap" w:color="auto" w:sz="24" w:space="0"/>
          <w:bottom w:val="thinThickMediumGap" w:color="auto" w:sz="24" w:space="0"/>
          <w:right w:val="thinThickMediumGap" w:color="auto" w:sz="24" w:space="0"/>
          <w:insideH w:val="thinThickMediumGap" w:color="auto" w:sz="24" w:space="0"/>
          <w:insideV w:val="thinThickMediumGap" w:color="auto" w:sz="24" w:space="0"/>
        </w:tblBorders>
        <w:tblLayout w:type="fixed"/>
        <w:tblCellMar>
          <w:top w:w="0" w:type="dxa"/>
          <w:left w:w="108" w:type="dxa"/>
          <w:bottom w:w="0" w:type="dxa"/>
          <w:right w:w="108" w:type="dxa"/>
        </w:tblCellMar>
      </w:tblPr>
      <w:tblGrid>
        <w:gridCol w:w="7967"/>
      </w:tblGrid>
      <w:tr w14:paraId="22F00E84">
        <w:tblPrEx>
          <w:tblBorders>
            <w:top w:val="thinThickMediumGap" w:color="auto" w:sz="24" w:space="0"/>
            <w:left w:val="thinThickMediumGap" w:color="auto" w:sz="24" w:space="0"/>
            <w:bottom w:val="thinThickMediumGap" w:color="auto" w:sz="24" w:space="0"/>
            <w:right w:val="thinThickMediumGap" w:color="auto" w:sz="24" w:space="0"/>
            <w:insideH w:val="thinThickMediumGap" w:color="auto" w:sz="24" w:space="0"/>
            <w:insideV w:val="thinThickMediumGap" w:color="auto" w:sz="24" w:space="0"/>
          </w:tblBorders>
          <w:tblCellMar>
            <w:top w:w="0" w:type="dxa"/>
            <w:left w:w="108" w:type="dxa"/>
            <w:bottom w:w="0" w:type="dxa"/>
            <w:right w:w="108" w:type="dxa"/>
          </w:tblCellMar>
        </w:tblPrEx>
        <w:trPr>
          <w:trHeight w:val="973" w:hRule="atLeast"/>
        </w:trPr>
        <w:tc>
          <w:tcPr>
            <w:tcW w:w="7967" w:type="dxa"/>
            <w:vAlign w:val="center"/>
          </w:tcPr>
          <w:p w14:paraId="75E5D6A5">
            <w:pPr>
              <w:shd w:val="solid" w:color="FFFFFF" w:fill="auto"/>
              <w:autoSpaceDN w:val="0"/>
              <w:spacing w:line="56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账户名：</w:t>
            </w:r>
          </w:p>
          <w:p w14:paraId="5D7E62C0">
            <w:pPr>
              <w:shd w:val="solid" w:color="FFFFFF" w:fill="auto"/>
              <w:autoSpaceDN w:val="0"/>
              <w:spacing w:line="56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纳税识别号</w:t>
            </w:r>
            <w:r>
              <w:rPr>
                <w:rFonts w:hint="eastAsia" w:ascii="仿宋_GB2312" w:hAnsi="仿宋_GB2312" w:eastAsia="仿宋_GB2312" w:cs="仿宋_GB2312"/>
                <w:sz w:val="28"/>
                <w:szCs w:val="28"/>
                <w:highlight w:val="none"/>
                <w:lang w:val="en-US" w:eastAsia="zh-CN"/>
              </w:rPr>
              <w:t>：</w:t>
            </w:r>
          </w:p>
          <w:p w14:paraId="05669388">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银行账号：</w:t>
            </w:r>
          </w:p>
          <w:p w14:paraId="2329D22D">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开户行：</w:t>
            </w:r>
          </w:p>
        </w:tc>
      </w:tr>
    </w:tbl>
    <w:p w14:paraId="59F3D6E8">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3、抖音官方软件服务费从甲方结算款项中扣减，根据甲方与抖音官方《软件服务费返还协议》产生的佣金返还由甲方自行收取（具体返还比例以甲方与抖音协议为准）。</w:t>
      </w:r>
    </w:p>
    <w:p w14:paraId="6857CD4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4、付款和开票方式</w:t>
      </w:r>
    </w:p>
    <w:p w14:paraId="5CF2EF2F">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商户结算金额自动划分至甲方平台上，甲方需根据平台规则自行操作提现。甲方给消费的客户开具相应购买金额的增值税普通发票，乙方给甲方开具相应服务费金额的增值税普通发票，甲方户名：</w:t>
      </w:r>
      <w:r>
        <w:rPr>
          <w:rFonts w:hint="eastAsia" w:ascii="仿宋_GB2312" w:hAnsi="仿宋_GB2312" w:eastAsia="仿宋_GB2312" w:cs="仿宋_GB2312"/>
          <w:sz w:val="28"/>
          <w:szCs w:val="28"/>
          <w:highlight w:val="none"/>
          <w:u w:val="single"/>
          <w:lang w:val="en-US" w:eastAsia="zh-CN"/>
        </w:rPr>
        <w:t xml:space="preserve"> 福州市水务文化旅游有限公司 </w:t>
      </w:r>
      <w:r>
        <w:rPr>
          <w:rFonts w:hint="eastAsia" w:ascii="仿宋_GB2312" w:hAnsi="仿宋_GB2312" w:eastAsia="仿宋_GB2312" w:cs="仿宋_GB2312"/>
          <w:sz w:val="28"/>
          <w:szCs w:val="28"/>
          <w:highlight w:val="none"/>
          <w:lang w:val="en-US" w:eastAsia="zh-CN"/>
        </w:rPr>
        <w:t>，税号</w:t>
      </w:r>
      <w:r>
        <w:rPr>
          <w:rFonts w:hint="eastAsia" w:ascii="仿宋_GB2312" w:hAnsi="仿宋_GB2312" w:eastAsia="仿宋_GB2312" w:cs="仿宋_GB2312"/>
          <w:sz w:val="28"/>
          <w:szCs w:val="28"/>
          <w:highlight w:val="none"/>
          <w:u w:val="single"/>
          <w:lang w:val="en-US" w:eastAsia="zh-CN"/>
        </w:rPr>
        <w:t xml:space="preserve">  91350100MA8U7BL43G  </w:t>
      </w:r>
      <w:r>
        <w:rPr>
          <w:rFonts w:hint="eastAsia" w:ascii="仿宋_GB2312" w:hAnsi="仿宋_GB2312" w:eastAsia="仿宋_GB2312" w:cs="仿宋_GB2312"/>
          <w:sz w:val="28"/>
          <w:szCs w:val="28"/>
          <w:highlight w:val="none"/>
          <w:lang w:val="en-US" w:eastAsia="zh-CN"/>
        </w:rPr>
        <w:t>。</w:t>
      </w:r>
    </w:p>
    <w:p w14:paraId="3575D488">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5、赠送增值服务</w:t>
      </w:r>
    </w:p>
    <w:p w14:paraId="13938630">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协议有效期内，乙方根据实际情况提供------。</w:t>
      </w:r>
    </w:p>
    <w:tbl>
      <w:tblPr>
        <w:tblStyle w:val="7"/>
        <w:tblpPr w:leftFromText="180" w:rightFromText="180" w:vertAnchor="text" w:horzAnchor="page" w:tblpX="2102" w:tblpY="77"/>
        <w:tblOverlap w:val="never"/>
        <w:tblW w:w="7967" w:type="dxa"/>
        <w:tblInd w:w="0" w:type="dxa"/>
        <w:tblBorders>
          <w:top w:val="thinThickMediumGap" w:color="auto" w:sz="24" w:space="0"/>
          <w:left w:val="thinThickMediumGap" w:color="auto" w:sz="24" w:space="0"/>
          <w:bottom w:val="thinThickMediumGap" w:color="auto" w:sz="24" w:space="0"/>
          <w:right w:val="thinThickMediumGap" w:color="auto" w:sz="24" w:space="0"/>
          <w:insideH w:val="thinThickMediumGap" w:color="auto" w:sz="24" w:space="0"/>
          <w:insideV w:val="thinThickMediumGap" w:color="auto" w:sz="24" w:space="0"/>
        </w:tblBorders>
        <w:tblLayout w:type="fixed"/>
        <w:tblCellMar>
          <w:top w:w="0" w:type="dxa"/>
          <w:left w:w="108" w:type="dxa"/>
          <w:bottom w:w="0" w:type="dxa"/>
          <w:right w:w="108" w:type="dxa"/>
        </w:tblCellMar>
      </w:tblPr>
      <w:tblGrid>
        <w:gridCol w:w="7967"/>
      </w:tblGrid>
      <w:tr w14:paraId="041E5D94">
        <w:tblPrEx>
          <w:tblBorders>
            <w:top w:val="thinThickMediumGap" w:color="auto" w:sz="24" w:space="0"/>
            <w:left w:val="thinThickMediumGap" w:color="auto" w:sz="24" w:space="0"/>
            <w:bottom w:val="thinThickMediumGap" w:color="auto" w:sz="24" w:space="0"/>
            <w:right w:val="thinThickMediumGap" w:color="auto" w:sz="24" w:space="0"/>
            <w:insideH w:val="thinThickMediumGap" w:color="auto" w:sz="24" w:space="0"/>
            <w:insideV w:val="thinThickMediumGap" w:color="auto" w:sz="24" w:space="0"/>
          </w:tblBorders>
          <w:tblCellMar>
            <w:top w:w="0" w:type="dxa"/>
            <w:left w:w="108" w:type="dxa"/>
            <w:bottom w:w="0" w:type="dxa"/>
            <w:right w:w="108" w:type="dxa"/>
          </w:tblCellMar>
        </w:tblPrEx>
        <w:trPr>
          <w:trHeight w:val="973" w:hRule="atLeast"/>
        </w:trPr>
        <w:tc>
          <w:tcPr>
            <w:tcW w:w="7967" w:type="dxa"/>
            <w:vAlign w:val="center"/>
          </w:tcPr>
          <w:p w14:paraId="345D9341">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甲方账户名：福州市水务文化旅游有限公司</w:t>
            </w:r>
          </w:p>
          <w:p w14:paraId="020FA352">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银行账号：13135101040031308</w:t>
            </w:r>
          </w:p>
          <w:p w14:paraId="3EC7F0C4">
            <w:pPr>
              <w:keepNext w:val="0"/>
              <w:keepLines w:val="0"/>
              <w:pageBreakBefore w:val="0"/>
              <w:widowControl w:val="0"/>
              <w:kinsoku/>
              <w:wordWrap/>
              <w:overflowPunct/>
              <w:topLinePunct w:val="0"/>
              <w:autoSpaceDE/>
              <w:autoSpaceDN/>
              <w:bidi w:val="0"/>
              <w:adjustRightInd/>
              <w:snapToGrid/>
              <w:spacing w:afterAutospacing="0" w:line="520" w:lineRule="exac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开户行：中国农业银行股份有限公司福州东大支行</w:t>
            </w:r>
          </w:p>
        </w:tc>
      </w:tr>
    </w:tbl>
    <w:p w14:paraId="571D3354">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三、协议内容</w:t>
      </w:r>
    </w:p>
    <w:p w14:paraId="648E0DF3">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双方拟根据本协议约定开展相关营销项目（称“项目”）。在协议有效期间，为实现甲方在相关平台开展经营活动、通过前述平台发布商品或服务信息、与平台用户（即客户）进行交易之目的，乙方为甲方提供在相关平台发布特卖活动信息，在线展示甲方产品或服务，协助甲方宣传推广特卖活动信息，并向甲方、用户提供相关技术支持、指引及咨询服务；甲方同意授权乙方及其合作平台、指定第三方通过短视频营销、短视频卖货、短视频电商、直播电商等方式开展套餐销售推广，并同意授权乙方开展指定套餐的分销授权，授权乙方为履行本协议之目的进行宣传推广，并授权其就甲方及其相关门店的名称、LOGO、图片、文字、门店等信息在协议期限内进行合理使用。</w:t>
      </w:r>
    </w:p>
    <w:p w14:paraId="5BE5FD68">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2、甲方应当在套餐确认后尽快向乙方提交约定指定套餐相关的文字介绍、视频、图片、链接等信息（称“宣传信息”），并允许乙方或指定第三方在指定套餐销售或宣传界面进行使用。</w:t>
      </w:r>
    </w:p>
    <w:p w14:paraId="6AFCF404">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本协议约定的指定套餐由甲方向客户提供，交易关系为客户与甲方之间建立，由该双方直接承担交易关系及法律后果。乙方不承担该交易本身的任何法律关系、后果和责任。甲方作为相关活动／服务的组织者或提供者，充分知晓前述内容。乙方不参与客户与甲方的实际交易、不为甲方提供任何形式的担保、保证、承诺。客户与甲方交易过程中产生的任何争议与纠纷，由客户与甲方协商解决或通过法律途径进行救济。在争议解决过程中，乙方的监督、协助行为不视为乙方以明示或默示方式承诺承担任何责任，若因前述客户与甲方争议原因致乙方产生经济损失的，乙方有权向甲方追偿。</w:t>
      </w:r>
    </w:p>
    <w:p w14:paraId="091F662F">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4、指定套餐确认后，甲方委托乙方售卖产品，乙方需以“套餐售价”为甲方向客户开展销售推广，客户通过乙方平台或乙方合作平台付款获得指定套餐的电子消费电子码后，至甲方处进行核销兑换指定套餐后视为完成该笔交易。 </w:t>
      </w:r>
    </w:p>
    <w:p w14:paraId="076C4A5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5、本协议约定的相关内容系唯一性，即在协议期间内，在抖音范围内，乙方为唯一代运营服务商。</w:t>
      </w:r>
    </w:p>
    <w:p w14:paraId="68908D4C">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6、甲方承诺拥有履行本协议约定的合法资质、授权以及实体线下门店；乙方承诺拥有履行本协议约定的合法资质，具有开展线上短视频销售推广支持的多种资源与渠道。</w:t>
      </w:r>
    </w:p>
    <w:p w14:paraId="3A73C1C9">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7、甲方授权乙方在甲方注册的企业抖音号创建并销售团购产品，所产生全部订单的结算款项会自动划分至甲方平台上，甲方自行操作提现，剩余服务费部分由乙方收取。</w:t>
      </w:r>
    </w:p>
    <w:p w14:paraId="4E7ED47C">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8、乙方需根据甲方要求，待甲方确认上架产品方案后的60个工作日内，乙方需完成产品上架。</w:t>
      </w:r>
    </w:p>
    <w:p w14:paraId="7C4C1B13">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四、 甲方权利与义务</w:t>
      </w:r>
    </w:p>
    <w:p w14:paraId="21BCEB51">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1、甲方应当向乙方提供甲方以及门店加盖公章的营业执照、授权函以及相关资质证明文件，并有权要求乙方应按照本协议约定按时进行款项结算。</w:t>
      </w:r>
    </w:p>
    <w:p w14:paraId="0EAE20A6">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甲方不得无故拒绝客户到店核销消费，并承诺对所有到店客户提供同等质量的店内服务，并承诺店内门票实际销售支付价格不得低于指定活动套餐的“套餐售价”，将遵守本协议的相关约定和平台相关规则及流程，不从事任何有损乙方利益的为。</w:t>
      </w:r>
    </w:p>
    <w:p w14:paraId="2E1C48CC">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甲方保证其向乙方提供或发布在乙方指定平台的宣传信息不会违反国家法律、法规，真实有效，不含夸大或虚假内容，且有危害国家安全、淫秽色情、虚假、违法、诽谤或骚扰、侵犯他人知识产权、人身权或其他合法权益或利益以及有违公序良俗，否则乙方有权修改或拒绝发布。若因甲方提供宣传信息所产生的责任由甲方承担，若因此造成乙方损失，甲方应予以赔偿。</w:t>
      </w:r>
    </w:p>
    <w:p w14:paraId="1174ECE0">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若甲方发布信息（包括但不限于宣传信息、营业时间、地点等）变更的，应提前与乙方确认并通知修改相关平台展示信息，尽管有先前的约定，因甲方变更信息所产生的客户投诉、退款等责任由甲方承担。对信息修改前客户已购买的套餐，双方确认按照修改前内容提供服务，甲方承诺其提供给客户的指定套餐的产品／服务质量均符合国家或地方安全标准，并提供安全的产品／服务体验环境与优质的消费服务，若因甲方原因（包括但不限于产品／服务质量问题、环境、设备等），导致客户的合法权益遭受侵害的，乙方须收集和保存相关证据，责任由甲方承担，若乙方先行承担赔偿责任的有权就因此产生的全部经济损失向甲方追偿。</w:t>
      </w:r>
    </w:p>
    <w:p w14:paraId="25EC5C02">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5、协议过程，乙方仅提供新媒体平台技术服务，如客户出现质量等方面投诉或安全事故或食品安全方面投诉，责任由甲方承担，与乙方无关。</w:t>
      </w:r>
    </w:p>
    <w:p w14:paraId="3F74AB66">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6、抖音官方软件服务费从甲方结算款项中扣减，根据甲方与抖音官方返还协议产生的佣金返还由甲方自行收取（具体返还比例以甲方与抖音协议为准），该金额与乙方无关。</w:t>
      </w:r>
    </w:p>
    <w:p w14:paraId="61A9BC8A">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五、乙方权利与义务</w:t>
      </w:r>
    </w:p>
    <w:p w14:paraId="4B7D5511">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指定套餐确认后，乙方根据实际情况派遣达人至甲方处开展探店活动，即拍摄指定套餐以及甲方环境、服务等，并就拍摄成果进行剪辑编辑，通过线上渠道发布前述成果来开展套餐的短视频销售推广，以及开展对甲方的宣传活动。探店具体时间将提前与甲方协调，经双方确认后，甲方无正当理由不得拒绝沟通和接待。</w:t>
      </w:r>
    </w:p>
    <w:p w14:paraId="49B9A152">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2、乙方将根据约定为甲方拍摄探店视频，并通过前述方式为甲方宣传并扩大甲方的影响力。</w:t>
      </w:r>
    </w:p>
    <w:p w14:paraId="3EE7B860">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乙方不得擅自修改甲方提供的宣传信息，不得利用甲方提供的宣传信息发布违反国家法律、法规，夸大或虚假、危害国家安全、淫秽色情、虚假、违法、诽谤或骚扰、侵犯他人知识产权、人身权或其他合法权益或利益以及有违公序良俗的信息。否则因乙方擅自修改产生的责任由乙方承担,若因此造成甲方损失，乙方应予以赔偿。</w:t>
      </w:r>
    </w:p>
    <w:p w14:paraId="3A336E74">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4、在协议有效期间，乙方应当利用自己的优势，大力推广指定套餐。</w:t>
      </w:r>
    </w:p>
    <w:p w14:paraId="122FABB1">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5、乙方对甲方提出的问题及建议应当积极回复沟通。</w:t>
      </w:r>
    </w:p>
    <w:p w14:paraId="433D9C53">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6、协议过程中，乙方有义务保护甲方品牌形象不因乙方工作失误受到损害，如因乙方行为造成甲方损失，乙方应予以赔偿。</w:t>
      </w:r>
    </w:p>
    <w:p w14:paraId="56CF4839">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六、保密和知识产权</w:t>
      </w:r>
    </w:p>
    <w:p w14:paraId="7790B0C9">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本协议另有约定外，任一方对于因签署或履行本协议而了解或接触到的另一方所提供的任何信息（称“保密信息”）均应保守秘密；书面同意，另一方不得向第三方泄露、给予或转让该等保密信息。本条款在本协议终止后仍然持续有效。无论本协议因何种原因终止，双方都应当遵守上述约定的保密义务。</w:t>
      </w:r>
    </w:p>
    <w:p w14:paraId="30A69E73">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双方确认，各方因履行本协议所提供的材料的不因本协议的履行发生任何权属变更，因履行本协议所拍摄的相关视频、图片等的产权归属甲、乙双方共同所有。甲方提供宣传材料的知识产权归属于甲方，不会因本协议的履行而视为转让予乙方。</w:t>
      </w:r>
    </w:p>
    <w:p w14:paraId="5F270098">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七、违约责任</w:t>
      </w:r>
    </w:p>
    <w:p w14:paraId="194C3A7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本协议若有一方违约，而造成守约方受损的，守约方有权就遭受的全部损失（包括但不限于实际损失、预期可得利益损失，及守约方为维护自身权益所产生的交通费、差旅费、诉讼费、保全费、律师费、公告费等一切费用）要求违约方赔偿。</w:t>
      </w:r>
    </w:p>
    <w:p w14:paraId="0190B266">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若甲方出现以下任一违约情形，每一情形出现一次，甲方应当向乙方支付违约金500元，若违约金不足以弥补乙方损失的，甲方应予以赔偿：无正当理由拒绝配合乙方开展达人探店活动，包括但不限于拒绝提供指定套餐、拒绝接待；无正当理由拒绝客户核销消费；引导客户向乙方申请退款并通过其他方式向甲方付款；产品/服务不符合相关规定或与约定不符、以次充好；客户因甲方原因向乙方投诉并经查属于甲方原因造成或导致乙方被投诉；未在约定时间内与客户核销、未及时通知乙方相关的店铺信息变更等。若前述各类情形累计出现三次，则乙方有权解除本协议。</w:t>
      </w:r>
    </w:p>
    <w:p w14:paraId="23C73E6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甲方确认，若甲方违反本协议第三条第5款、因违约导致协议解除或擅自要求解除本协议的，乙方有权要求甲方赔付违约金，违约金金额为本协议累计销售总额（销售总额=销售单价*销售量）等值金额的5%，若低于人民币5000元的，则以人民币5000</w:t>
      </w:r>
      <w:bookmarkStart w:id="0" w:name="_GoBack"/>
      <w:bookmarkEnd w:id="0"/>
      <w:r>
        <w:rPr>
          <w:rFonts w:hint="eastAsia" w:ascii="仿宋_GB2312" w:hAnsi="仿宋_GB2312" w:eastAsia="仿宋_GB2312" w:cs="仿宋_GB2312"/>
          <w:sz w:val="28"/>
          <w:szCs w:val="28"/>
          <w:highlight w:val="none"/>
          <w:lang w:val="en-US" w:eastAsia="zh-CN"/>
        </w:rPr>
        <w:t>元计。</w:t>
      </w:r>
    </w:p>
    <w:p w14:paraId="1F1F890D">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4、甲方确认若出现本协议外第三方未经甲方同意，或在甲方不知情情况下擅自在本协议约定独家合作平台上架销售甲方产品，导致甲方违反本协议约定的行为，则甲方应立即停止对第三方电子券的核销并通知乙方，并应当全力配合乙方追究第三方，包括不限于根据乙方指示授权乙方指定外部法律机构全权代理甲方追究该第三方责任，停止对第三方电子券码核销等。 </w:t>
      </w:r>
    </w:p>
    <w:p w14:paraId="3422FA1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5、如乙方在协议约定时间60个工作日内无法实现为甲方上架内河游船产品，则甲方有权单方解除本协议，双方相互免责。 </w:t>
      </w:r>
    </w:p>
    <w:p w14:paraId="5C1F81D9">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6、如出现战争、疫情、自然灾害等不可抗力原因，不能履行本协议，双方可相互免责。</w:t>
      </w:r>
    </w:p>
    <w:p w14:paraId="62255223">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7、若乙方发布的视频、推文、素材、广告等违反国家相关法规定侵犯第三方知识产权被下架的，乙方需要重新上架以满足协议约定的服务包内容，由此产生的侵权责任由乙方自行承担。</w:t>
      </w:r>
    </w:p>
    <w:p w14:paraId="72254266">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8、若乙方发布的视频、推文、素材、广告等违反国家相关法规或侵犯第三方知识产权的导致甲方损害的，甲方有权要求乙方承担赔偿责任。</w:t>
      </w:r>
    </w:p>
    <w:p w14:paraId="563A1990">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9、任何一方违约，守约方为实现债权及行使解除权而产生的一切费用（包括但不限于诉讼仲裁费、律师费、赔偿费、财产保全费、评估鉴定费、执行费、拍卖费、差旅费等）均由违约方承担。</w:t>
      </w:r>
    </w:p>
    <w:p w14:paraId="38A0A7D4">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10、乙方未能按甲方要求提供增值税普通发票或提供不符合规定和虚假增值税发票的，乙方应承担退回已收取本协议核销的销售总额（销售总额=销售单价*销售量）等值金额（含增值税）10%的违约金并承担相关法律责任。</w:t>
      </w:r>
    </w:p>
    <w:p w14:paraId="69618476">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12、乙方有以下情形，即视为严重违反协议约定而构成严重违约，甲方有权解除本协议，乙方产生的费用甲方不予承担：</w:t>
      </w:r>
    </w:p>
    <w:p w14:paraId="41C58D80">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（1）乙方交付的服务不符合本协议约定的；</w:t>
      </w:r>
    </w:p>
    <w:p w14:paraId="50CFFC0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（2）乙方未履行本协议约定的保密义务的；</w:t>
      </w:r>
    </w:p>
    <w:p w14:paraId="53F84307">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（3）乙方有其他法律规定的构成根本违约行为的。</w:t>
      </w:r>
    </w:p>
    <w:p w14:paraId="460441D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如乙方在协议期内贬低甲方品牌或进行其他违法行为而造成甲方损失的，甲方有权要求乙方赔付违约金，违约金金额为本协议累计销售总额（销售总额=销售单价*销售量）等值金额的10%，若低于人民币10000元的，则以人民币10000元计，若不足以弥补甲方全部损失，乙方需就差额部分继续向甲方赔偿。</w:t>
      </w:r>
    </w:p>
    <w:p w14:paraId="27D844FD">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八、争议的解决</w:t>
      </w:r>
    </w:p>
    <w:p w14:paraId="1E548A7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本</w:t>
      </w:r>
      <w:r>
        <w:rPr>
          <w:rFonts w:hint="eastAsia" w:ascii="仿宋_GB2312" w:hAnsi="仿宋_GB2312" w:eastAsia="仿宋_GB2312" w:cs="仿宋_GB2312"/>
          <w:sz w:val="28"/>
          <w:szCs w:val="28"/>
          <w:highlight w:val="none"/>
          <w:lang w:eastAsia="zh-CN"/>
        </w:rPr>
        <w:t>协议</w:t>
      </w:r>
      <w:r>
        <w:rPr>
          <w:rFonts w:hint="eastAsia" w:ascii="仿宋_GB2312" w:hAnsi="仿宋_GB2312" w:eastAsia="仿宋_GB2312" w:cs="仿宋_GB2312"/>
          <w:sz w:val="28"/>
          <w:szCs w:val="28"/>
          <w:highlight w:val="none"/>
        </w:rPr>
        <w:t>非任何一方的格式</w:t>
      </w:r>
      <w:r>
        <w:rPr>
          <w:rFonts w:hint="eastAsia" w:ascii="仿宋_GB2312" w:hAnsi="仿宋_GB2312" w:eastAsia="仿宋_GB2312" w:cs="仿宋_GB2312"/>
          <w:sz w:val="28"/>
          <w:szCs w:val="28"/>
          <w:highlight w:val="none"/>
          <w:lang w:eastAsia="zh-CN"/>
        </w:rPr>
        <w:t>协议</w:t>
      </w:r>
      <w:r>
        <w:rPr>
          <w:rFonts w:hint="eastAsia" w:ascii="仿宋_GB2312" w:hAnsi="仿宋_GB2312" w:eastAsia="仿宋_GB2312" w:cs="仿宋_GB2312"/>
          <w:sz w:val="28"/>
          <w:szCs w:val="28"/>
          <w:highlight w:val="none"/>
        </w:rPr>
        <w:t>，因</w:t>
      </w:r>
      <w:r>
        <w:rPr>
          <w:rFonts w:hint="eastAsia" w:ascii="仿宋_GB2312" w:hAnsi="仿宋_GB2312" w:eastAsia="仿宋_GB2312" w:cs="仿宋_GB2312"/>
          <w:sz w:val="28"/>
          <w:szCs w:val="28"/>
          <w:highlight w:val="none"/>
          <w:lang w:eastAsia="zh-CN"/>
        </w:rPr>
        <w:t>协议</w:t>
      </w:r>
      <w:r>
        <w:rPr>
          <w:rFonts w:hint="eastAsia" w:ascii="仿宋_GB2312" w:hAnsi="仿宋_GB2312" w:eastAsia="仿宋_GB2312" w:cs="仿宋_GB2312"/>
          <w:sz w:val="28"/>
          <w:szCs w:val="28"/>
          <w:highlight w:val="none"/>
        </w:rPr>
        <w:t>及</w:t>
      </w:r>
      <w:r>
        <w:rPr>
          <w:rFonts w:hint="eastAsia" w:ascii="仿宋_GB2312" w:hAnsi="仿宋_GB2312" w:eastAsia="仿宋_GB2312" w:cs="仿宋_GB2312"/>
          <w:sz w:val="28"/>
          <w:szCs w:val="28"/>
          <w:highlight w:val="none"/>
          <w:lang w:eastAsia="zh-CN"/>
        </w:rPr>
        <w:t>协议</w:t>
      </w:r>
      <w:r>
        <w:rPr>
          <w:rFonts w:hint="eastAsia" w:ascii="仿宋_GB2312" w:hAnsi="仿宋_GB2312" w:eastAsia="仿宋_GB2312" w:cs="仿宋_GB2312"/>
          <w:sz w:val="28"/>
          <w:szCs w:val="28"/>
          <w:highlight w:val="none"/>
        </w:rPr>
        <w:t>有关事项发生的争议，应首先进行友好协商，协商不成的，各方均同意提交福州仲裁委员会仲裁。</w:t>
      </w:r>
      <w:r>
        <w:rPr>
          <w:rFonts w:hint="eastAsia" w:ascii="仿宋_GB2312" w:hAnsi="仿宋_GB2312" w:eastAsia="仿宋_GB2312" w:cs="仿宋_GB2312"/>
          <w:sz w:val="28"/>
          <w:szCs w:val="28"/>
          <w:highlight w:val="none"/>
          <w:lang w:val="en-US" w:eastAsia="zh-CN"/>
        </w:rPr>
        <w:t>一方为主张权利所支出的仲裁费、律师费、保全费、财产保全保险费、公证费、公告费等由败诉方承担。</w:t>
      </w:r>
    </w:p>
    <w:p w14:paraId="3BC98B6F">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九、通知</w:t>
      </w:r>
    </w:p>
    <w:p w14:paraId="2AF0798B">
      <w:pPr>
        <w:keepNext w:val="0"/>
        <w:keepLines w:val="0"/>
        <w:pageBreakBefore w:val="0"/>
        <w:widowControl w:val="0"/>
        <w:kinsoku/>
        <w:wordWrap/>
        <w:overflowPunct/>
        <w:topLinePunct w:val="0"/>
        <w:autoSpaceDE/>
        <w:autoSpaceDN/>
        <w:bidi w:val="0"/>
        <w:spacing w:line="520" w:lineRule="exact"/>
        <w:ind w:firstLine="560" w:firstLineChars="200"/>
        <w:jc w:val="left"/>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任何一方在发送本</w:t>
      </w:r>
      <w:r>
        <w:rPr>
          <w:rFonts w:hint="eastAsia" w:ascii="仿宋_GB2312" w:hAnsi="仿宋_GB2312" w:eastAsia="仿宋_GB2312" w:cs="仿宋_GB2312"/>
          <w:b w:val="0"/>
          <w:bCs/>
          <w:sz w:val="28"/>
          <w:szCs w:val="28"/>
          <w:highlight w:val="none"/>
          <w:lang w:eastAsia="zh-CN"/>
        </w:rPr>
        <w:t>协议</w:t>
      </w:r>
      <w:r>
        <w:rPr>
          <w:rFonts w:hint="eastAsia" w:ascii="仿宋_GB2312" w:hAnsi="仿宋_GB2312" w:eastAsia="仿宋_GB2312" w:cs="仿宋_GB2312"/>
          <w:b w:val="0"/>
          <w:bCs/>
          <w:sz w:val="28"/>
          <w:szCs w:val="28"/>
          <w:highlight w:val="none"/>
        </w:rPr>
        <w:t>项下的或与本</w:t>
      </w:r>
      <w:r>
        <w:rPr>
          <w:rFonts w:hint="eastAsia" w:ascii="仿宋_GB2312" w:hAnsi="仿宋_GB2312" w:eastAsia="仿宋_GB2312" w:cs="仿宋_GB2312"/>
          <w:b w:val="0"/>
          <w:bCs/>
          <w:sz w:val="28"/>
          <w:szCs w:val="28"/>
          <w:highlight w:val="none"/>
          <w:lang w:eastAsia="zh-CN"/>
        </w:rPr>
        <w:t>协议</w:t>
      </w:r>
      <w:r>
        <w:rPr>
          <w:rFonts w:hint="eastAsia" w:ascii="仿宋_GB2312" w:hAnsi="仿宋_GB2312" w:eastAsia="仿宋_GB2312" w:cs="仿宋_GB2312"/>
          <w:b w:val="0"/>
          <w:bCs/>
          <w:sz w:val="28"/>
          <w:szCs w:val="28"/>
          <w:highlight w:val="none"/>
        </w:rPr>
        <w:t>有关的通知、信函、报告等材料时，应采用书面形式并发往下列地址，在对方接到一方发出的变更其收件人/地址的通知之前，该方收件人/地址仍以先前为准。双方同意以下列收件人/地址作为双方司法/仲裁文书的送达地址，如有变化，规则同前。</w:t>
      </w:r>
    </w:p>
    <w:p w14:paraId="25854C31">
      <w:pPr>
        <w:keepNext w:val="0"/>
        <w:keepLines w:val="0"/>
        <w:pageBreakBefore w:val="0"/>
        <w:widowControl w:val="0"/>
        <w:kinsoku/>
        <w:wordWrap/>
        <w:overflowPunct/>
        <w:topLinePunct w:val="0"/>
        <w:autoSpaceDE/>
        <w:autoSpaceDN/>
        <w:bidi w:val="0"/>
        <w:spacing w:line="520" w:lineRule="exact"/>
        <w:ind w:firstLine="560" w:firstLineChars="200"/>
        <w:jc w:val="left"/>
        <w:textAlignment w:val="auto"/>
        <w:outlineLvl w:val="1"/>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 xml:space="preserve">（1）发给甲方的通知地址： </w:t>
      </w:r>
    </w:p>
    <w:p w14:paraId="06A59481">
      <w:pPr>
        <w:keepNext w:val="0"/>
        <w:keepLines w:val="0"/>
        <w:pageBreakBefore w:val="0"/>
        <w:widowControl w:val="0"/>
        <w:numPr>
          <w:ilvl w:val="0"/>
          <w:numId w:val="0"/>
        </w:numPr>
        <w:kinsoku/>
        <w:wordWrap/>
        <w:overflowPunct/>
        <w:topLinePunct w:val="0"/>
        <w:autoSpaceDE/>
        <w:autoSpaceDN/>
        <w:bidi w:val="0"/>
        <w:spacing w:line="520" w:lineRule="exact"/>
        <w:ind w:firstLine="560" w:firstLineChars="200"/>
        <w:jc w:val="left"/>
        <w:textAlignment w:val="auto"/>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rPr>
        <w:t>收件人：</w:t>
      </w:r>
      <w:r>
        <w:rPr>
          <w:rFonts w:hint="eastAsia" w:ascii="仿宋_GB2312" w:hAnsi="仿宋_GB2312" w:eastAsia="仿宋_GB2312" w:cs="仿宋_GB2312"/>
          <w:b w:val="0"/>
          <w:bCs/>
          <w:sz w:val="28"/>
          <w:szCs w:val="28"/>
          <w:highlight w:val="none"/>
          <w:lang w:val="en-US" w:eastAsia="zh-CN"/>
        </w:rPr>
        <w:t>许楠</w:t>
      </w:r>
    </w:p>
    <w:p w14:paraId="2AE379E0">
      <w:pPr>
        <w:keepNext w:val="0"/>
        <w:keepLines w:val="0"/>
        <w:pageBreakBefore w:val="0"/>
        <w:widowControl w:val="0"/>
        <w:kinsoku/>
        <w:wordWrap/>
        <w:overflowPunct/>
        <w:topLinePunct w:val="0"/>
        <w:autoSpaceDE/>
        <w:autoSpaceDN/>
        <w:bidi w:val="0"/>
        <w:spacing w:line="520" w:lineRule="exact"/>
        <w:ind w:left="1959" w:leftChars="266" w:hanging="1400" w:hangingChars="500"/>
        <w:jc w:val="left"/>
        <w:textAlignment w:val="auto"/>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rPr>
        <w:t>收件地址：</w:t>
      </w:r>
      <w:r>
        <w:rPr>
          <w:rFonts w:hint="eastAsia" w:ascii="仿宋_GB2312" w:hAnsi="仿宋_GB2312" w:eastAsia="仿宋_GB2312" w:cs="仿宋_GB2312"/>
          <w:b w:val="0"/>
          <w:bCs/>
          <w:sz w:val="28"/>
          <w:szCs w:val="28"/>
          <w:highlight w:val="none"/>
          <w:lang w:val="en-US" w:eastAsia="zh-CN"/>
        </w:rPr>
        <w:t>福州市台江区新港街道天榕花园C座1层店面</w:t>
      </w:r>
    </w:p>
    <w:p w14:paraId="46A2545B">
      <w:pPr>
        <w:keepNext w:val="0"/>
        <w:keepLines w:val="0"/>
        <w:pageBreakBefore w:val="0"/>
        <w:widowControl w:val="0"/>
        <w:kinsoku/>
        <w:wordWrap/>
        <w:overflowPunct/>
        <w:topLinePunct w:val="0"/>
        <w:autoSpaceDE/>
        <w:autoSpaceDN/>
        <w:bidi w:val="0"/>
        <w:spacing w:line="520" w:lineRule="exact"/>
        <w:ind w:left="1955" w:leftChars="931" w:firstLine="0" w:firstLineChars="0"/>
        <w:jc w:val="left"/>
        <w:textAlignment w:val="auto"/>
        <w:rPr>
          <w:rFonts w:hint="default"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水务文旅公司</w:t>
      </w:r>
    </w:p>
    <w:p w14:paraId="4D1A6160">
      <w:pPr>
        <w:keepNext w:val="0"/>
        <w:keepLines w:val="0"/>
        <w:pageBreakBefore w:val="0"/>
        <w:widowControl w:val="0"/>
        <w:kinsoku/>
        <w:wordWrap/>
        <w:overflowPunct/>
        <w:topLinePunct w:val="0"/>
        <w:autoSpaceDE/>
        <w:autoSpaceDN/>
        <w:bidi w:val="0"/>
        <w:spacing w:line="520" w:lineRule="exact"/>
        <w:ind w:firstLine="560" w:firstLineChars="200"/>
        <w:jc w:val="left"/>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联系电话：</w:t>
      </w:r>
      <w:r>
        <w:rPr>
          <w:rFonts w:hint="eastAsia" w:ascii="仿宋_GB2312" w:hAnsi="仿宋_GB2312" w:eastAsia="仿宋_GB2312" w:cs="仿宋_GB2312"/>
          <w:b w:val="0"/>
          <w:bCs/>
          <w:sz w:val="28"/>
          <w:szCs w:val="28"/>
          <w:highlight w:val="none"/>
          <w:lang w:val="en-US" w:eastAsia="zh-CN"/>
        </w:rPr>
        <w:t>15059189878</w:t>
      </w:r>
      <w:r>
        <w:rPr>
          <w:rFonts w:hint="eastAsia" w:ascii="仿宋_GB2312" w:hAnsi="仿宋_GB2312" w:eastAsia="仿宋_GB2312" w:cs="仿宋_GB2312"/>
          <w:b w:val="0"/>
          <w:bCs/>
          <w:sz w:val="28"/>
          <w:szCs w:val="28"/>
          <w:highlight w:val="none"/>
        </w:rPr>
        <w:t xml:space="preserve"> </w:t>
      </w:r>
    </w:p>
    <w:p w14:paraId="755C7A0C">
      <w:pPr>
        <w:keepNext w:val="0"/>
        <w:keepLines w:val="0"/>
        <w:pageBreakBefore w:val="0"/>
        <w:widowControl w:val="0"/>
        <w:numPr>
          <w:ilvl w:val="0"/>
          <w:numId w:val="1"/>
        </w:numPr>
        <w:kinsoku/>
        <w:wordWrap/>
        <w:overflowPunct/>
        <w:topLinePunct w:val="0"/>
        <w:autoSpaceDE/>
        <w:autoSpaceDN/>
        <w:bidi w:val="0"/>
        <w:spacing w:line="520" w:lineRule="exact"/>
        <w:ind w:firstLine="560" w:firstLineChars="200"/>
        <w:jc w:val="both"/>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发给乙方的通知地址：</w:t>
      </w:r>
    </w:p>
    <w:p w14:paraId="300792ED">
      <w:pPr>
        <w:keepNext w:val="0"/>
        <w:keepLines w:val="0"/>
        <w:pageBreakBefore w:val="0"/>
        <w:widowControl w:val="0"/>
        <w:numPr>
          <w:ilvl w:val="0"/>
          <w:numId w:val="0"/>
        </w:numPr>
        <w:kinsoku/>
        <w:wordWrap/>
        <w:overflowPunct/>
        <w:topLinePunct w:val="0"/>
        <w:autoSpaceDE/>
        <w:autoSpaceDN/>
        <w:bidi w:val="0"/>
        <w:spacing w:line="520" w:lineRule="exact"/>
        <w:ind w:firstLine="560" w:firstLineChars="200"/>
        <w:jc w:val="left"/>
        <w:textAlignment w:val="auto"/>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rPr>
        <w:t>收件人：</w:t>
      </w:r>
    </w:p>
    <w:p w14:paraId="5D94C9E3">
      <w:pPr>
        <w:keepNext w:val="0"/>
        <w:keepLines w:val="0"/>
        <w:pageBreakBefore w:val="0"/>
        <w:widowControl w:val="0"/>
        <w:numPr>
          <w:ilvl w:val="0"/>
          <w:numId w:val="0"/>
        </w:numPr>
        <w:kinsoku/>
        <w:wordWrap/>
        <w:overflowPunct/>
        <w:topLinePunct w:val="0"/>
        <w:autoSpaceDE/>
        <w:autoSpaceDN/>
        <w:bidi w:val="0"/>
        <w:spacing w:line="520" w:lineRule="exact"/>
        <w:ind w:firstLine="560" w:firstLineChars="200"/>
        <w:jc w:val="left"/>
        <w:textAlignment w:val="auto"/>
        <w:rPr>
          <w:rFonts w:hint="default"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rPr>
        <w:t>收件地址：</w:t>
      </w:r>
      <w:r>
        <w:rPr>
          <w:rFonts w:hint="eastAsia" w:ascii="仿宋_GB2312" w:hAnsi="仿宋_GB2312" w:eastAsia="仿宋_GB2312" w:cs="仿宋_GB2312"/>
          <w:b w:val="0"/>
          <w:bCs/>
          <w:sz w:val="28"/>
          <w:szCs w:val="28"/>
          <w:highlight w:val="none"/>
          <w:lang w:val="en-US" w:eastAsia="zh-CN"/>
        </w:rPr>
        <w:t xml:space="preserve"> </w:t>
      </w:r>
    </w:p>
    <w:p w14:paraId="21BD7C55">
      <w:pPr>
        <w:keepNext w:val="0"/>
        <w:keepLines w:val="0"/>
        <w:pageBreakBefore w:val="0"/>
        <w:widowControl w:val="0"/>
        <w:kinsoku/>
        <w:wordWrap/>
        <w:overflowPunct/>
        <w:topLinePunct w:val="0"/>
        <w:autoSpaceDE/>
        <w:autoSpaceDN/>
        <w:bidi w:val="0"/>
        <w:spacing w:line="520" w:lineRule="exact"/>
        <w:ind w:firstLine="560" w:firstLineChars="200"/>
        <w:jc w:val="left"/>
        <w:textAlignment w:val="auto"/>
        <w:rPr>
          <w:rFonts w:hint="default" w:ascii="宋体" w:hAnsi="宋体" w:eastAsia="仿宋_GB2312" w:cs="宋体"/>
          <w:sz w:val="28"/>
          <w:szCs w:val="28"/>
          <w:highlight w:val="none"/>
          <w:u w:val="single"/>
          <w:lang w:val="en-US" w:eastAsia="zh-CN"/>
        </w:rPr>
      </w:pPr>
      <w:r>
        <w:rPr>
          <w:rFonts w:hint="eastAsia" w:ascii="仿宋_GB2312" w:hAnsi="仿宋_GB2312" w:eastAsia="仿宋_GB2312" w:cs="仿宋_GB2312"/>
          <w:b w:val="0"/>
          <w:bCs/>
          <w:sz w:val="28"/>
          <w:szCs w:val="28"/>
          <w:highlight w:val="none"/>
        </w:rPr>
        <w:t>联系电话：</w:t>
      </w:r>
    </w:p>
    <w:p w14:paraId="3139BB16">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color w:val="auto"/>
          <w:sz w:val="28"/>
          <w:szCs w:val="28"/>
        </w:rPr>
        <w:t>本</w:t>
      </w:r>
      <w:r>
        <w:rPr>
          <w:rFonts w:hint="eastAsia" w:ascii="仿宋_GB2312" w:hAnsi="仿宋_GB2312" w:eastAsia="仿宋_GB2312" w:cs="仿宋_GB2312"/>
          <w:color w:val="auto"/>
          <w:sz w:val="28"/>
          <w:szCs w:val="28"/>
          <w:lang w:eastAsia="zh-CN"/>
        </w:rPr>
        <w:t>协议</w:t>
      </w:r>
      <w:r>
        <w:rPr>
          <w:rFonts w:hint="eastAsia" w:ascii="仿宋_GB2312" w:hAnsi="仿宋_GB2312" w:eastAsia="仿宋_GB2312" w:cs="仿宋_GB2312"/>
          <w:color w:val="auto"/>
          <w:sz w:val="28"/>
          <w:szCs w:val="28"/>
        </w:rPr>
        <w:t>项下的或与本</w:t>
      </w:r>
      <w:r>
        <w:rPr>
          <w:rFonts w:hint="eastAsia" w:ascii="仿宋_GB2312" w:hAnsi="仿宋_GB2312" w:eastAsia="仿宋_GB2312" w:cs="仿宋_GB2312"/>
          <w:color w:val="auto"/>
          <w:sz w:val="28"/>
          <w:szCs w:val="28"/>
          <w:lang w:eastAsia="zh-CN"/>
        </w:rPr>
        <w:t>协议</w:t>
      </w:r>
      <w:r>
        <w:rPr>
          <w:rFonts w:hint="eastAsia" w:ascii="仿宋_GB2312" w:hAnsi="仿宋_GB2312" w:eastAsia="仿宋_GB2312" w:cs="仿宋_GB2312"/>
          <w:color w:val="auto"/>
          <w:sz w:val="28"/>
          <w:szCs w:val="28"/>
        </w:rPr>
        <w:t>有关的通知、信函、报告等材料，本</w:t>
      </w:r>
      <w:r>
        <w:rPr>
          <w:rFonts w:hint="eastAsia" w:ascii="仿宋_GB2312" w:hAnsi="仿宋_GB2312" w:eastAsia="仿宋_GB2312" w:cs="仿宋_GB2312"/>
          <w:color w:val="auto"/>
          <w:sz w:val="28"/>
          <w:szCs w:val="28"/>
          <w:lang w:eastAsia="zh-CN"/>
        </w:rPr>
        <w:t>协议</w:t>
      </w:r>
      <w:r>
        <w:rPr>
          <w:rFonts w:hint="eastAsia" w:ascii="仿宋_GB2312" w:hAnsi="仿宋_GB2312" w:eastAsia="仿宋_GB2312" w:cs="仿宋_GB2312"/>
          <w:color w:val="auto"/>
          <w:sz w:val="28"/>
          <w:szCs w:val="28"/>
        </w:rPr>
        <w:t>双方确认采用特快专递方式寄出，在按照上述地址送交邮政局或快递公司后2个工作日即视为已经送达。</w:t>
      </w:r>
    </w:p>
    <w:p w14:paraId="160D3ABE">
      <w:pPr>
        <w:keepNext w:val="0"/>
        <w:keepLines w:val="0"/>
        <w:pageBreakBefore w:val="0"/>
        <w:widowControl w:val="0"/>
        <w:numPr>
          <w:ilvl w:val="0"/>
          <w:numId w:val="0"/>
        </w:numPr>
        <w:kinsoku/>
        <w:wordWrap/>
        <w:overflowPunct/>
        <w:topLinePunct w:val="0"/>
        <w:autoSpaceDE/>
        <w:autoSpaceDN/>
        <w:bidi w:val="0"/>
        <w:spacing w:line="520" w:lineRule="exact"/>
        <w:ind w:leftChars="0" w:firstLine="562" w:firstLineChars="200"/>
        <w:jc w:val="left"/>
        <w:textAlignment w:val="auto"/>
        <w:outlineLvl w:val="0"/>
        <w:rPr>
          <w:rFonts w:hint="eastAsia" w:ascii="仿宋_GB2312" w:hAnsi="仿宋_GB2312" w:eastAsia="仿宋_GB2312" w:cs="仿宋_GB2312"/>
          <w:b/>
          <w:bCs w:val="0"/>
          <w:sz w:val="28"/>
          <w:szCs w:val="28"/>
          <w:highlight w:val="none"/>
          <w:lang w:val="en-US" w:eastAsia="zh-CN"/>
        </w:rPr>
      </w:pPr>
      <w:r>
        <w:rPr>
          <w:rFonts w:hint="eastAsia" w:ascii="仿宋_GB2312" w:hAnsi="仿宋_GB2312" w:eastAsia="仿宋_GB2312" w:cs="仿宋_GB2312"/>
          <w:b/>
          <w:bCs w:val="0"/>
          <w:sz w:val="28"/>
          <w:szCs w:val="28"/>
          <w:highlight w:val="none"/>
          <w:lang w:val="en-US" w:eastAsia="zh-CN"/>
        </w:rPr>
        <w:t>十、附则</w:t>
      </w:r>
    </w:p>
    <w:p w14:paraId="51E4CA3B">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1、协议有效期：---年--月--日起----年--月--日。如协议期内售卖套餐有效期超出---年--月--日，则以所售卖套餐有效期为准。</w:t>
      </w:r>
    </w:p>
    <w:p w14:paraId="23E69052">
      <w:pPr>
        <w:keepNext w:val="0"/>
        <w:keepLines w:val="0"/>
        <w:pageBreakBefore w:val="0"/>
        <w:widowControl w:val="0"/>
        <w:kinsoku/>
        <w:wordWrap/>
        <w:overflowPunct/>
        <w:topLinePunct w:val="0"/>
        <w:autoSpaceDE/>
        <w:autoSpaceDN/>
        <w:bidi w:val="0"/>
        <w:adjustRightInd/>
        <w:snapToGrid/>
        <w:spacing w:afterAutospacing="0"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2、本协议壹式陆份，甲方执叁份，乙方执叁份。</w:t>
      </w:r>
    </w:p>
    <w:p w14:paraId="46C59B0A">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（本页以下无正文，为双方签字盖章页。）</w:t>
      </w:r>
    </w:p>
    <w:p w14:paraId="3A8F99E7">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color w:val="auto"/>
          <w:sz w:val="28"/>
          <w:szCs w:val="28"/>
        </w:rPr>
      </w:pPr>
    </w:p>
    <w:tbl>
      <w:tblPr>
        <w:tblStyle w:val="8"/>
        <w:tblW w:w="9880" w:type="dxa"/>
        <w:tblInd w:w="-6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1"/>
        <w:gridCol w:w="5179"/>
      </w:tblGrid>
      <w:tr w14:paraId="0F853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01" w:type="dxa"/>
            <w:shd w:val="clear" w:color="auto" w:fill="FFFFFF"/>
          </w:tcPr>
          <w:p w14:paraId="54C5988C">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甲方： 福州市水务文化旅游有限公司</w:t>
            </w:r>
          </w:p>
          <w:p w14:paraId="25C502D8">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法定代表人或授权代表：</w:t>
            </w:r>
          </w:p>
          <w:p w14:paraId="4E46E0E0">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rPr>
            </w:pPr>
          </w:p>
          <w:p w14:paraId="32FC1805">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地址：福建省福州市</w:t>
            </w:r>
            <w:r>
              <w:rPr>
                <w:rFonts w:hint="eastAsia" w:ascii="仿宋_GB2312" w:hAnsi="仿宋_GB2312" w:eastAsia="仿宋_GB2312" w:cs="仿宋_GB2312"/>
                <w:sz w:val="28"/>
                <w:szCs w:val="28"/>
                <w:highlight w:val="none"/>
                <w:lang w:val="en-US" w:eastAsia="zh-CN"/>
              </w:rPr>
              <w:t>台江区国货西路318号天榕花园C座1单元101室</w:t>
            </w:r>
          </w:p>
          <w:p w14:paraId="31A1E6F3">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vertAlign w:val="baseline"/>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0591-83723830</w:t>
            </w:r>
          </w:p>
        </w:tc>
        <w:tc>
          <w:tcPr>
            <w:tcW w:w="5179" w:type="dxa"/>
            <w:shd w:val="clear" w:color="auto" w:fill="FFFFFF"/>
          </w:tcPr>
          <w:p w14:paraId="76C1616A">
            <w:pPr>
              <w:keepNext w:val="0"/>
              <w:keepLines w:val="0"/>
              <w:pageBreakBefore w:val="0"/>
              <w:widowControl w:val="0"/>
              <w:kinsoku/>
              <w:wordWrap/>
              <w:overflowPunct/>
              <w:topLinePunct w:val="0"/>
              <w:autoSpaceDE/>
              <w:autoSpaceDN/>
              <w:bidi w:val="0"/>
              <w:spacing w:line="520" w:lineRule="exact"/>
              <w:jc w:val="left"/>
              <w:textAlignment w:val="auto"/>
              <w:rPr>
                <w:rFonts w:hint="default" w:ascii="仿宋_GB2312" w:hAnsi="仿宋_GB2312" w:eastAsia="仿宋_GB2312" w:cs="仿宋_GB2312"/>
                <w:color w:val="000000"/>
                <w:sz w:val="28"/>
                <w:szCs w:val="28"/>
                <w:highlight w:val="none"/>
                <w:lang w:val="en-US"/>
              </w:rPr>
            </w:pPr>
            <w:r>
              <w:rPr>
                <w:rFonts w:hint="eastAsia" w:ascii="仿宋_GB2312" w:hAnsi="仿宋_GB2312" w:eastAsia="仿宋_GB2312" w:cs="仿宋_GB2312"/>
                <w:color w:val="000000"/>
                <w:sz w:val="28"/>
                <w:szCs w:val="28"/>
                <w:highlight w:val="none"/>
              </w:rPr>
              <w:t>乙方</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sz w:val="28"/>
                <w:szCs w:val="28"/>
                <w:highlight w:val="none"/>
                <w:lang w:val="en-US" w:eastAsia="zh-CN"/>
              </w:rPr>
              <w:t xml:space="preserve"> </w:t>
            </w:r>
          </w:p>
          <w:p w14:paraId="293D98DD">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法定代表人或授权代表：</w:t>
            </w:r>
          </w:p>
          <w:p w14:paraId="577F7ADB">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color w:val="000000"/>
                <w:sz w:val="28"/>
                <w:szCs w:val="28"/>
                <w:highlight w:val="none"/>
              </w:rPr>
            </w:pPr>
          </w:p>
          <w:p w14:paraId="0386181F">
            <w:pPr>
              <w:keepNext w:val="0"/>
              <w:keepLines w:val="0"/>
              <w:pageBreakBefore w:val="0"/>
              <w:widowControl w:val="0"/>
              <w:kinsoku/>
              <w:wordWrap/>
              <w:overflowPunct/>
              <w:topLinePunct w:val="0"/>
              <w:autoSpaceDE/>
              <w:autoSpaceDN/>
              <w:bidi w:val="0"/>
              <w:spacing w:line="520" w:lineRule="exact"/>
              <w:jc w:val="left"/>
              <w:textAlignment w:val="auto"/>
              <w:rPr>
                <w:rFonts w:hint="default"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color w:val="000000"/>
                <w:sz w:val="28"/>
                <w:szCs w:val="28"/>
                <w:highlight w:val="none"/>
              </w:rPr>
              <w:t>地址：</w:t>
            </w:r>
          </w:p>
          <w:p w14:paraId="03EDC633">
            <w:pPr>
              <w:keepNext w:val="0"/>
              <w:keepLines w:val="0"/>
              <w:pageBreakBefore w:val="0"/>
              <w:widowControl w:val="0"/>
              <w:kinsoku/>
              <w:wordWrap/>
              <w:overflowPunct/>
              <w:topLinePunct w:val="0"/>
              <w:autoSpaceDE/>
              <w:autoSpaceDN/>
              <w:bidi w:val="0"/>
              <w:spacing w:line="520" w:lineRule="exact"/>
              <w:jc w:val="left"/>
              <w:textAlignment w:val="auto"/>
              <w:rPr>
                <w:rFonts w:hint="default" w:ascii="仿宋_GB2312" w:hAnsi="仿宋_GB2312" w:eastAsia="仿宋_GB2312" w:cs="仿宋_GB2312"/>
                <w:color w:val="000000"/>
                <w:sz w:val="28"/>
                <w:szCs w:val="28"/>
                <w:highlight w:val="none"/>
                <w:vertAlign w:val="baseli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 xml:space="preserve"> </w:t>
            </w:r>
          </w:p>
        </w:tc>
      </w:tr>
    </w:tbl>
    <w:p w14:paraId="39B7641F">
      <w:pPr>
        <w:keepNext w:val="0"/>
        <w:keepLines w:val="0"/>
        <w:pageBreakBefore w:val="0"/>
        <w:widowControl w:val="0"/>
        <w:kinsoku/>
        <w:wordWrap/>
        <w:overflowPunct/>
        <w:topLinePunct w:val="0"/>
        <w:autoSpaceDE/>
        <w:autoSpaceDN/>
        <w:bidi w:val="0"/>
        <w:spacing w:line="520" w:lineRule="exact"/>
        <w:ind w:firstLine="3640" w:firstLineChars="1300"/>
        <w:jc w:val="left"/>
        <w:textAlignment w:val="auto"/>
        <w:rPr>
          <w:rFonts w:hint="eastAsia" w:ascii="仿宋_GB2312" w:hAnsi="仿宋_GB2312" w:eastAsia="仿宋_GB2312" w:cs="仿宋_GB2312"/>
          <w:sz w:val="28"/>
          <w:szCs w:val="28"/>
          <w:highlight w:val="none"/>
        </w:rPr>
      </w:pPr>
    </w:p>
    <w:p w14:paraId="2306C930">
      <w:pPr>
        <w:keepNext w:val="0"/>
        <w:keepLines w:val="0"/>
        <w:pageBreakBefore w:val="0"/>
        <w:widowControl w:val="0"/>
        <w:kinsoku/>
        <w:wordWrap/>
        <w:overflowPunct/>
        <w:topLinePunct w:val="0"/>
        <w:autoSpaceDE/>
        <w:autoSpaceDN/>
        <w:bidi w:val="0"/>
        <w:adjustRightInd/>
        <w:snapToGrid/>
        <w:spacing w:afterAutospacing="0" w:line="520" w:lineRule="exact"/>
        <w:jc w:val="righ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签约时间：       年     月</w:t>
      </w:r>
      <w:r>
        <w:rPr>
          <w:rFonts w:hint="eastAsia" w:ascii="仿宋_GB2312" w:hAnsi="仿宋_GB2312" w:eastAsia="仿宋_GB2312" w:cs="仿宋_GB2312"/>
          <w:sz w:val="28"/>
          <w:szCs w:val="28"/>
          <w:highlight w:val="none"/>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5168CD"/>
    <w:multiLevelType w:val="singleLevel"/>
    <w:tmpl w:val="705168C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873D8"/>
    <w:rsid w:val="01406410"/>
    <w:rsid w:val="070840C5"/>
    <w:rsid w:val="1C4C4F94"/>
    <w:rsid w:val="2AF873D8"/>
    <w:rsid w:val="4E7E7C97"/>
    <w:rsid w:val="5BF15DD6"/>
    <w:rsid w:val="62105FD8"/>
    <w:rsid w:val="797728C1"/>
    <w:rsid w:val="7F412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出段落1"/>
    <w:basedOn w:val="1"/>
    <w:qFormat/>
    <w:uiPriority w:val="99"/>
    <w:pPr>
      <w:ind w:firstLine="420" w:firstLineChars="200"/>
    </w:pPr>
  </w:style>
  <w:style w:type="paragraph" w:customStyle="1" w:styleId="11">
    <w:name w:val="公司名"/>
    <w:basedOn w:val="4"/>
    <w:qFormat/>
    <w:uiPriority w:val="0"/>
    <w:pPr>
      <w:keepLines/>
      <w:widowControl/>
      <w:spacing w:after="80" w:line="240" w:lineRule="atLeast"/>
      <w:jc w:val="center"/>
    </w:pPr>
    <w:rPr>
      <w:rFonts w:ascii="Garamond" w:hAnsi="Garamond" w:eastAsia="隶书"/>
      <w:caps/>
      <w:spacing w:val="75"/>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5383</Words>
  <Characters>5507</Characters>
  <Lines>0</Lines>
  <Paragraphs>0</Paragraphs>
  <TotalTime>23</TotalTime>
  <ScaleCrop>false</ScaleCrop>
  <LinksUpToDate>false</LinksUpToDate>
  <CharactersWithSpaces>5577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2026-03-23T06:56:00Z</dcterms:created>
  <dc:creator>许楠</dc:creator>
  <cp:lastModifiedBy>许楠</cp:lastModifiedBy>
  <dcterms:modified xsi:type="dcterms:W3CDTF">2026-04-20T03:20:39Z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2A4D514B467C4CF6AD6228BB75FFF344_13</vt:lpwstr>
  </property>
  <property fmtid="{D5CDD505-2E9C-101B-9397-08002B2CF9AE}" pid="4" name="KSOTemplateDocerSaveRecord">
    <vt:lpwstr>eyJoZGlkIjoiOTEyMDA1OWQ0ZDgxNDgzYjdhNmVlNmFkYzU1ODhhOWYiLCJ1c2VySWQiOiIyNDE5NTAxMTYifQ==</vt:lpwstr>
  </property>
</Properties>
</file>