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A5A4C">
      <w:pPr>
        <w:spacing w:line="360" w:lineRule="auto"/>
        <w:jc w:val="center"/>
        <w:rPr>
          <w:rFonts w:hint="eastAsia" w:ascii="宋体" w:hAnsi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bidi="ar"/>
        </w:rPr>
        <w:t>绿化养护质量考核标准评分依据表</w:t>
      </w:r>
    </w:p>
    <w:tbl>
      <w:tblPr>
        <w:tblStyle w:val="4"/>
        <w:tblW w:w="9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8"/>
        <w:gridCol w:w="850"/>
        <w:gridCol w:w="1843"/>
        <w:gridCol w:w="2835"/>
        <w:gridCol w:w="1843"/>
        <w:gridCol w:w="1134"/>
      </w:tblGrid>
      <w:tr w14:paraId="11D4F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1008" w:type="dxa"/>
            <w:vAlign w:val="center"/>
          </w:tcPr>
          <w:p w14:paraId="30CF67E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850" w:type="dxa"/>
            <w:vAlign w:val="center"/>
          </w:tcPr>
          <w:p w14:paraId="60EC649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标准分</w:t>
            </w:r>
          </w:p>
        </w:tc>
        <w:tc>
          <w:tcPr>
            <w:tcW w:w="1843" w:type="dxa"/>
            <w:vAlign w:val="center"/>
          </w:tcPr>
          <w:p w14:paraId="2ACC8A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养护质量标准</w:t>
            </w:r>
          </w:p>
        </w:tc>
        <w:tc>
          <w:tcPr>
            <w:tcW w:w="2835" w:type="dxa"/>
            <w:vAlign w:val="center"/>
          </w:tcPr>
          <w:p w14:paraId="6BB094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考核评分办法</w:t>
            </w:r>
          </w:p>
        </w:tc>
        <w:tc>
          <w:tcPr>
            <w:tcW w:w="1843" w:type="dxa"/>
            <w:vAlign w:val="center"/>
          </w:tcPr>
          <w:p w14:paraId="756EE9E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单项考核分</w:t>
            </w:r>
          </w:p>
        </w:tc>
        <w:tc>
          <w:tcPr>
            <w:tcW w:w="1134" w:type="dxa"/>
            <w:vAlign w:val="center"/>
          </w:tcPr>
          <w:p w14:paraId="49D8C2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14:paraId="393F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08" w:type="dxa"/>
            <w:vMerge w:val="restart"/>
            <w:vAlign w:val="center"/>
          </w:tcPr>
          <w:p w14:paraId="5DA402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景观效果     (5分）</w:t>
            </w:r>
          </w:p>
        </w:tc>
        <w:tc>
          <w:tcPr>
            <w:tcW w:w="850" w:type="dxa"/>
            <w:vMerge w:val="restart"/>
            <w:vAlign w:val="center"/>
          </w:tcPr>
          <w:p w14:paraId="6C225DE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14:paraId="7FAB47B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总体景观效果好。养护基本到位、得当，达到黄土不裸露。</w:t>
            </w:r>
          </w:p>
        </w:tc>
        <w:tc>
          <w:tcPr>
            <w:tcW w:w="2835" w:type="dxa"/>
            <w:vMerge w:val="restart"/>
            <w:vAlign w:val="center"/>
          </w:tcPr>
          <w:p w14:paraId="5348564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总体景观效果一般的扣1分，景观效果较差的扣2-4分。</w:t>
            </w:r>
          </w:p>
        </w:tc>
        <w:tc>
          <w:tcPr>
            <w:tcW w:w="1843" w:type="dxa"/>
            <w:vMerge w:val="restart"/>
            <w:vAlign w:val="center"/>
          </w:tcPr>
          <w:p w14:paraId="4FC2978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2D076D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B1C0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008" w:type="dxa"/>
            <w:vMerge w:val="continue"/>
            <w:vAlign w:val="center"/>
          </w:tcPr>
          <w:p w14:paraId="34BAE604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98D591B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1843CD4E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continue"/>
            <w:vAlign w:val="center"/>
          </w:tcPr>
          <w:p w14:paraId="34493061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604CC6D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0482381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5C1D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4" w:hRule="atLeast"/>
        </w:trPr>
        <w:tc>
          <w:tcPr>
            <w:tcW w:w="1008" w:type="dxa"/>
            <w:vMerge w:val="restart"/>
            <w:vAlign w:val="center"/>
          </w:tcPr>
          <w:p w14:paraId="3A3A700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植物生长状况(15分)</w:t>
            </w:r>
          </w:p>
        </w:tc>
        <w:tc>
          <w:tcPr>
            <w:tcW w:w="850" w:type="dxa"/>
            <w:vAlign w:val="center"/>
          </w:tcPr>
          <w:p w14:paraId="496F31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843" w:type="dxa"/>
          </w:tcPr>
          <w:p w14:paraId="45E12C1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植株长势良好，无枯枝、死枝、徒长枝，病虫枝不超过5%。</w:t>
            </w:r>
          </w:p>
        </w:tc>
        <w:tc>
          <w:tcPr>
            <w:tcW w:w="2835" w:type="dxa"/>
          </w:tcPr>
          <w:p w14:paraId="015B3CA5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植株长势不良扣0.1分/株；枯枝、死枝、徒长枝扣0.1分/株；病虫枝超过5%扣0.1分/株。地被每100平方米有2%面积生长不良的扣0.1分。乔灌木以株为单位，地被以100平方米为单位。</w:t>
            </w:r>
          </w:p>
        </w:tc>
        <w:tc>
          <w:tcPr>
            <w:tcW w:w="1843" w:type="dxa"/>
            <w:vAlign w:val="center"/>
          </w:tcPr>
          <w:p w14:paraId="5371F96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22C5EC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F7DE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008" w:type="dxa"/>
            <w:vMerge w:val="continue"/>
            <w:vAlign w:val="center"/>
          </w:tcPr>
          <w:p w14:paraId="57B7F6C7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EFE73C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843" w:type="dxa"/>
          </w:tcPr>
          <w:p w14:paraId="179E55DF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树冠完整，内膛枝疏密得当，通风透光良好。</w:t>
            </w:r>
          </w:p>
        </w:tc>
        <w:tc>
          <w:tcPr>
            <w:tcW w:w="2835" w:type="dxa"/>
          </w:tcPr>
          <w:p w14:paraId="14E26889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树冠不完整或偏冠扣0.2-0.5分/株；内膛过密、通风透光不良扣0.2分/株。</w:t>
            </w:r>
          </w:p>
        </w:tc>
        <w:tc>
          <w:tcPr>
            <w:tcW w:w="1843" w:type="dxa"/>
            <w:vAlign w:val="center"/>
          </w:tcPr>
          <w:p w14:paraId="1124B4FC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F92053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44D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5" w:hRule="atLeast"/>
        </w:trPr>
        <w:tc>
          <w:tcPr>
            <w:tcW w:w="1008" w:type="dxa"/>
            <w:vMerge w:val="continue"/>
            <w:vAlign w:val="center"/>
          </w:tcPr>
          <w:p w14:paraId="42717062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4C37B9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843" w:type="dxa"/>
          </w:tcPr>
          <w:p w14:paraId="38C781A8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叶色、叶形基本正常，有少量黄叶(生长季节)、焦叶、卷叶，叶面干净。</w:t>
            </w:r>
          </w:p>
        </w:tc>
        <w:tc>
          <w:tcPr>
            <w:tcW w:w="2835" w:type="dxa"/>
          </w:tcPr>
          <w:p w14:paraId="6C639E9D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叶色、叶形不正常(黄叶、焦叶、卷叶)扣0.2分/株；叶上果上有明显虫粪、虫网、积尘，扣0.2分/株。乔灌木以株为单位，地被以100平方米为单位。</w:t>
            </w:r>
          </w:p>
        </w:tc>
        <w:tc>
          <w:tcPr>
            <w:tcW w:w="1843" w:type="dxa"/>
            <w:vAlign w:val="center"/>
          </w:tcPr>
          <w:p w14:paraId="3A461DA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B191A1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D121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1008" w:type="dxa"/>
            <w:vMerge w:val="restart"/>
            <w:vAlign w:val="center"/>
          </w:tcPr>
          <w:p w14:paraId="329FD6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植物养护状况(30分)</w:t>
            </w:r>
          </w:p>
        </w:tc>
        <w:tc>
          <w:tcPr>
            <w:tcW w:w="850" w:type="dxa"/>
            <w:vMerge w:val="restart"/>
            <w:vAlign w:val="center"/>
          </w:tcPr>
          <w:p w14:paraId="252E7A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22E37A69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①生长正常，树冠基本完整，主侧枝分枝基本均匀，数量适宜，内膛通风透光。</w:t>
            </w:r>
          </w:p>
        </w:tc>
        <w:tc>
          <w:tcPr>
            <w:tcW w:w="2835" w:type="dxa"/>
            <w:vMerge w:val="restart"/>
            <w:vAlign w:val="center"/>
          </w:tcPr>
          <w:p w14:paraId="201CDE63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缺株、死株、明显倾斜或倒伏未在10日内补种或扶正，扣0.5分/株；乔木分支点影响行人过往，扣0.2分/株；修剪后未涂抹伤口，扣0.5分/株；乔灌木以株为单位，地被以100平方米为单位。</w:t>
            </w:r>
          </w:p>
        </w:tc>
        <w:tc>
          <w:tcPr>
            <w:tcW w:w="1843" w:type="dxa"/>
            <w:vMerge w:val="restart"/>
            <w:vAlign w:val="center"/>
          </w:tcPr>
          <w:p w14:paraId="4F77BB1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1E8A29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6008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0" w:hRule="atLeast"/>
        </w:trPr>
        <w:tc>
          <w:tcPr>
            <w:tcW w:w="1008" w:type="dxa"/>
            <w:vMerge w:val="continue"/>
            <w:vAlign w:val="center"/>
          </w:tcPr>
          <w:p w14:paraId="761E6094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4C6AB16B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83C461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②灌木缺株在2%以下(含2%)。</w:t>
            </w:r>
          </w:p>
        </w:tc>
        <w:tc>
          <w:tcPr>
            <w:tcW w:w="2835" w:type="dxa"/>
            <w:vMerge w:val="continue"/>
            <w:vAlign w:val="center"/>
          </w:tcPr>
          <w:p w14:paraId="241CA97D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4C37074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17A09C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AA61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1008" w:type="dxa"/>
            <w:vMerge w:val="continue"/>
            <w:vAlign w:val="center"/>
          </w:tcPr>
          <w:p w14:paraId="7FABEB84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A81B836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0241BC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树池内地被植物修剪整齐。</w:t>
            </w:r>
          </w:p>
        </w:tc>
        <w:tc>
          <w:tcPr>
            <w:tcW w:w="2835" w:type="dxa"/>
            <w:vMerge w:val="continue"/>
            <w:vAlign w:val="center"/>
          </w:tcPr>
          <w:p w14:paraId="34EB5C4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2DA2ACF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44D0F4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B0C3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08" w:type="dxa"/>
            <w:vMerge w:val="continue"/>
            <w:vAlign w:val="center"/>
          </w:tcPr>
          <w:p w14:paraId="697D2185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F233D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6BA4E77B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花灌木：开花率大于80%，残花败叶及时清理。</w:t>
            </w:r>
          </w:p>
        </w:tc>
        <w:tc>
          <w:tcPr>
            <w:tcW w:w="2835" w:type="dxa"/>
            <w:vMerge w:val="restart"/>
            <w:vAlign w:val="center"/>
          </w:tcPr>
          <w:p w14:paraId="5997A41C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花灌木开花率小于80%，扣1-3分；残花败叶未及时清理，扣0.2分/株(m2)；死株、缺株扣0.2分/棵。</w:t>
            </w:r>
          </w:p>
        </w:tc>
        <w:tc>
          <w:tcPr>
            <w:tcW w:w="1843" w:type="dxa"/>
            <w:vMerge w:val="restart"/>
            <w:vAlign w:val="center"/>
          </w:tcPr>
          <w:p w14:paraId="44B1031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99EFC6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D5C0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08" w:type="dxa"/>
            <w:vMerge w:val="continue"/>
            <w:vAlign w:val="center"/>
          </w:tcPr>
          <w:p w14:paraId="68179E08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A936BE5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7125AF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花卉：①花卉植株生长良好，花色艳丽，具有一定的株行距，不露底土。</w:t>
            </w:r>
          </w:p>
        </w:tc>
        <w:tc>
          <w:tcPr>
            <w:tcW w:w="2835" w:type="dxa"/>
            <w:vMerge w:val="continue"/>
            <w:vAlign w:val="center"/>
          </w:tcPr>
          <w:p w14:paraId="4BEA8B9A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6259E6A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A78E68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F628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08" w:type="dxa"/>
            <w:vMerge w:val="continue"/>
            <w:vAlign w:val="center"/>
          </w:tcPr>
          <w:p w14:paraId="39F4DD51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77EF1378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D4AF0E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②花卉生长正常，缺株、倒伏不超过3处，无枯枝残花。</w:t>
            </w:r>
          </w:p>
        </w:tc>
        <w:tc>
          <w:tcPr>
            <w:tcW w:w="2835" w:type="dxa"/>
            <w:vMerge w:val="continue"/>
            <w:vAlign w:val="center"/>
          </w:tcPr>
          <w:p w14:paraId="481259A9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493800A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DB6499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67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1008" w:type="dxa"/>
            <w:vMerge w:val="continue"/>
            <w:vAlign w:val="center"/>
          </w:tcPr>
          <w:p w14:paraId="707DE97A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73485AE9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01A938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③花期基本一致。</w:t>
            </w:r>
          </w:p>
        </w:tc>
        <w:tc>
          <w:tcPr>
            <w:tcW w:w="2835" w:type="dxa"/>
            <w:vMerge w:val="continue"/>
            <w:vAlign w:val="center"/>
          </w:tcPr>
          <w:p w14:paraId="7FDF946D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7C55FB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762D2F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9D71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5" w:hRule="atLeast"/>
        </w:trPr>
        <w:tc>
          <w:tcPr>
            <w:tcW w:w="1008" w:type="dxa"/>
            <w:vMerge w:val="continue"/>
            <w:vAlign w:val="center"/>
          </w:tcPr>
          <w:p w14:paraId="1156F9C6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0B572E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18B85440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绿篱及地被：①生长正常。无明显枯枝、断枝。</w:t>
            </w:r>
          </w:p>
        </w:tc>
        <w:tc>
          <w:tcPr>
            <w:tcW w:w="2835" w:type="dxa"/>
            <w:vMerge w:val="restart"/>
            <w:vAlign w:val="center"/>
          </w:tcPr>
          <w:p w14:paraId="02B3CC1B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绿篱、色块整体生长不良，扣1-2分；绿篱、色块不整齐扣0.1分/m,破残、缺株、死株扣0.2分/m2，有10cm以上徒长枝的，扣0.1分/处；杂草扣0.1/m。</w:t>
            </w:r>
          </w:p>
        </w:tc>
        <w:tc>
          <w:tcPr>
            <w:tcW w:w="1843" w:type="dxa"/>
            <w:vMerge w:val="restart"/>
            <w:vAlign w:val="center"/>
          </w:tcPr>
          <w:p w14:paraId="412804A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6C87E8A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2BC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08" w:type="dxa"/>
            <w:vMerge w:val="continue"/>
            <w:vAlign w:val="center"/>
          </w:tcPr>
          <w:p w14:paraId="0606C988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38949F3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3A3346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②修剪及时，形状较完整。</w:t>
            </w:r>
          </w:p>
        </w:tc>
        <w:tc>
          <w:tcPr>
            <w:tcW w:w="2835" w:type="dxa"/>
            <w:vMerge w:val="continue"/>
            <w:vAlign w:val="center"/>
          </w:tcPr>
          <w:p w14:paraId="4D07B185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4F701B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53BFE92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760D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2" w:hRule="atLeast"/>
        </w:trPr>
        <w:tc>
          <w:tcPr>
            <w:tcW w:w="1008" w:type="dxa"/>
            <w:vMerge w:val="continue"/>
            <w:vAlign w:val="center"/>
          </w:tcPr>
          <w:p w14:paraId="66BEADC3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325D6C2F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315D11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③绿篱无空缺、断层，下部无光秃，地被无缺株断行。</w:t>
            </w:r>
          </w:p>
        </w:tc>
        <w:tc>
          <w:tcPr>
            <w:tcW w:w="2835" w:type="dxa"/>
            <w:vMerge w:val="continue"/>
            <w:vAlign w:val="center"/>
          </w:tcPr>
          <w:p w14:paraId="3D64727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02DBD17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FB5643A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7494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08" w:type="dxa"/>
            <w:vMerge w:val="continue"/>
            <w:vAlign w:val="center"/>
          </w:tcPr>
          <w:p w14:paraId="0F42C28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88EEFB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53BFE23F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草坪：①生长良好，杂草率≤3%，覆盖率达98%以上。</w:t>
            </w:r>
          </w:p>
        </w:tc>
        <w:tc>
          <w:tcPr>
            <w:tcW w:w="2835" w:type="dxa"/>
            <w:vMerge w:val="restart"/>
            <w:vAlign w:val="center"/>
          </w:tcPr>
          <w:p w14:paraId="3BD3728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暖季型草坪(如马尼拉)超过5cm高度，扣0.2分/10m2，冷季型草坪(如高羊茅)超过9cm高度，扣0.2分/10m2；反季节枯黄、裸地，扣0.1分/m2；草坪内杂草超过3%且高度超过15cm，扣0.5分/m2；行道树树穴内有高于15cm杂草的，扣0.3/穴；积水扣0.1分/m2。</w:t>
            </w:r>
          </w:p>
        </w:tc>
        <w:tc>
          <w:tcPr>
            <w:tcW w:w="1843" w:type="dxa"/>
            <w:vMerge w:val="restart"/>
            <w:vAlign w:val="center"/>
          </w:tcPr>
          <w:p w14:paraId="1FB9255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14:paraId="787E6FC6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CA6A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5" w:hRule="atLeast"/>
        </w:trPr>
        <w:tc>
          <w:tcPr>
            <w:tcW w:w="1008" w:type="dxa"/>
            <w:vMerge w:val="continue"/>
            <w:vAlign w:val="center"/>
          </w:tcPr>
          <w:p w14:paraId="4BD2E125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5136B8A7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6E3E6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②修剪高度符合要求，能及时处理坑洼积水和堆料堆物。</w:t>
            </w:r>
          </w:p>
        </w:tc>
        <w:tc>
          <w:tcPr>
            <w:tcW w:w="2835" w:type="dxa"/>
            <w:vMerge w:val="continue"/>
            <w:vAlign w:val="center"/>
          </w:tcPr>
          <w:p w14:paraId="2838CABE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37DD92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</w:tcPr>
          <w:p w14:paraId="42B0D1B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45AA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</w:trPr>
        <w:tc>
          <w:tcPr>
            <w:tcW w:w="1008" w:type="dxa"/>
            <w:vMerge w:val="continue"/>
            <w:vAlign w:val="center"/>
          </w:tcPr>
          <w:p w14:paraId="1C3758A3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0504947B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A1B3C4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③单块空秃面积不超过0.2 m2。</w:t>
            </w:r>
          </w:p>
        </w:tc>
        <w:tc>
          <w:tcPr>
            <w:tcW w:w="2835" w:type="dxa"/>
            <w:vMerge w:val="continue"/>
            <w:vAlign w:val="center"/>
          </w:tcPr>
          <w:p w14:paraId="1BF6176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787140C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</w:tcPr>
          <w:p w14:paraId="7DAD1C1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9F1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</w:trPr>
        <w:tc>
          <w:tcPr>
            <w:tcW w:w="1008" w:type="dxa"/>
            <w:vMerge w:val="continue"/>
            <w:vAlign w:val="center"/>
          </w:tcPr>
          <w:p w14:paraId="4E09C53F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299B092B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88B38E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④基本无杂草。无缠绕性、攀援性杂草。杂草高度控制在6cm以下，不影响景观效果。</w:t>
            </w:r>
          </w:p>
        </w:tc>
        <w:tc>
          <w:tcPr>
            <w:tcW w:w="2835" w:type="dxa"/>
            <w:vMerge w:val="continue"/>
            <w:vAlign w:val="center"/>
          </w:tcPr>
          <w:p w14:paraId="67144620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67114C4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</w:tcPr>
          <w:p w14:paraId="140E48AD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4DD3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008" w:type="dxa"/>
            <w:vMerge w:val="continue"/>
            <w:vAlign w:val="center"/>
          </w:tcPr>
          <w:p w14:paraId="64DB748F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8D613B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76EB4FEF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水生植物、花灌木：生长良好，叶色碧绿，花朵饱满</w:t>
            </w:r>
          </w:p>
        </w:tc>
        <w:tc>
          <w:tcPr>
            <w:tcW w:w="2835" w:type="dxa"/>
            <w:vAlign w:val="center"/>
          </w:tcPr>
          <w:p w14:paraId="5346E59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长势不良扣0.1分/株；枯枝、死枝扣0.1分/株</w:t>
            </w:r>
          </w:p>
        </w:tc>
        <w:tc>
          <w:tcPr>
            <w:tcW w:w="1843" w:type="dxa"/>
            <w:vAlign w:val="center"/>
          </w:tcPr>
          <w:p w14:paraId="646598E2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DF9D6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864A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</w:trPr>
        <w:tc>
          <w:tcPr>
            <w:tcW w:w="1008" w:type="dxa"/>
            <w:vMerge w:val="continue"/>
            <w:vAlign w:val="center"/>
          </w:tcPr>
          <w:p w14:paraId="0B301986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549864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712F2148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病虫害控制：建立病虫害防治预案和防治计划。食叶性害虫危害的叶片每株小于5%，刺吸性害虫危害的叶片每株小于5%，蛀干性害虫危害率小于5%，无明显危害迹象。</w:t>
            </w:r>
          </w:p>
        </w:tc>
        <w:tc>
          <w:tcPr>
            <w:tcW w:w="2835" w:type="dxa"/>
          </w:tcPr>
          <w:p w14:paraId="11F91E0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有病虫害危害的，乔灌木扣0.2分/株，绿篱，色块扣0.1分/m2，草坪扣0.1分/m2；施药操作不规范，扣1分/处；发生药害事故，该项全扣。无病虫害防治预案和防治计划，扣1分。</w:t>
            </w:r>
          </w:p>
        </w:tc>
        <w:tc>
          <w:tcPr>
            <w:tcW w:w="1843" w:type="dxa"/>
            <w:vAlign w:val="center"/>
          </w:tcPr>
          <w:p w14:paraId="76C6973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05651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8E8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1008" w:type="dxa"/>
            <w:vMerge w:val="continue"/>
            <w:vAlign w:val="center"/>
          </w:tcPr>
          <w:p w14:paraId="0AC45A30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202D1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1E4967D4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造型树应及时修剪，形状完好</w:t>
            </w:r>
          </w:p>
        </w:tc>
        <w:tc>
          <w:tcPr>
            <w:tcW w:w="2835" w:type="dxa"/>
            <w:vAlign w:val="center"/>
          </w:tcPr>
          <w:p w14:paraId="0B7DC457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造型树应修剪而未进行修剪扣0.2分/株，修剪变形扣2-6分/株。</w:t>
            </w:r>
          </w:p>
        </w:tc>
        <w:tc>
          <w:tcPr>
            <w:tcW w:w="1843" w:type="dxa"/>
            <w:vAlign w:val="center"/>
          </w:tcPr>
          <w:p w14:paraId="018674C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251815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9B47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08" w:type="dxa"/>
            <w:vMerge w:val="continue"/>
            <w:vAlign w:val="center"/>
          </w:tcPr>
          <w:p w14:paraId="2BC0D81D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62D7FB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3DC4F521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水肥管理：根据当地气候、土壤保水情况，适时适量浇水。</w:t>
            </w:r>
          </w:p>
        </w:tc>
        <w:tc>
          <w:tcPr>
            <w:tcW w:w="2835" w:type="dxa"/>
            <w:vMerge w:val="restart"/>
            <w:vAlign w:val="center"/>
          </w:tcPr>
          <w:p w14:paraId="07EE24FF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无年度施肥计划，扣2分；植株出现缺水症状或缺肥症状或肥害症状，扣1分/株(m2)。</w:t>
            </w:r>
          </w:p>
        </w:tc>
        <w:tc>
          <w:tcPr>
            <w:tcW w:w="1843" w:type="dxa"/>
            <w:vMerge w:val="restart"/>
            <w:vAlign w:val="center"/>
          </w:tcPr>
          <w:p w14:paraId="29B0F06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89FDBB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5CBE3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08" w:type="dxa"/>
            <w:vMerge w:val="continue"/>
            <w:vAlign w:val="center"/>
          </w:tcPr>
          <w:p w14:paraId="03F9E848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2010C70A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423600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根据树木生长需要，制定年度施肥计划，合理施肥。</w:t>
            </w:r>
          </w:p>
        </w:tc>
        <w:tc>
          <w:tcPr>
            <w:tcW w:w="2835" w:type="dxa"/>
            <w:vMerge w:val="continue"/>
            <w:vAlign w:val="center"/>
          </w:tcPr>
          <w:p w14:paraId="5EB57A2F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20ED41E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645999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C1E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36" w:hRule="atLeast"/>
        </w:trPr>
        <w:tc>
          <w:tcPr>
            <w:tcW w:w="1008" w:type="dxa"/>
            <w:vMerge w:val="continue"/>
            <w:vAlign w:val="center"/>
          </w:tcPr>
          <w:p w14:paraId="729E296B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3443D1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4A10F92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防台风措施：台风季节应做好树木的修剪工作，以尽量减少台风危害。对危树应及时采取加固措施。风暴来临时,应将已倒伏而影响交通的树木及时处理。风暴后应及时疏通道路，修剪断折、下垂的枝条；将歪斜、倒伏的树木扶正。</w:t>
            </w:r>
          </w:p>
        </w:tc>
        <w:tc>
          <w:tcPr>
            <w:tcW w:w="2835" w:type="dxa"/>
            <w:vAlign w:val="center"/>
          </w:tcPr>
          <w:p w14:paraId="3CB1A592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无抗台风防台风预案扣2分；台风后未在36小时内疏通道路，扣1分/处；未在5日内将倒伏树扶正扣0.5分/株</w:t>
            </w:r>
          </w:p>
        </w:tc>
        <w:tc>
          <w:tcPr>
            <w:tcW w:w="1843" w:type="dxa"/>
            <w:vAlign w:val="center"/>
          </w:tcPr>
          <w:p w14:paraId="611E0A1F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C1FAC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AAA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08" w:type="dxa"/>
            <w:vMerge w:val="continue"/>
            <w:vAlign w:val="center"/>
          </w:tcPr>
          <w:p w14:paraId="558B559E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7257D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4C6A21A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立体绿化、水生植物、花境植物齐整，最佳观赏期后及时修剪、归整</w:t>
            </w:r>
          </w:p>
        </w:tc>
        <w:tc>
          <w:tcPr>
            <w:tcW w:w="2835" w:type="dxa"/>
            <w:vAlign w:val="center"/>
          </w:tcPr>
          <w:p w14:paraId="00D87F3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立体绿化、水生植物、花境植物内容残缺，景观效果差扣1分；最佳观赏期后未及时修剪、归整，扣1分/处</w:t>
            </w:r>
          </w:p>
        </w:tc>
        <w:tc>
          <w:tcPr>
            <w:tcW w:w="1843" w:type="dxa"/>
            <w:vAlign w:val="center"/>
          </w:tcPr>
          <w:p w14:paraId="12F6592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852727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E59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5" w:hRule="atLeast"/>
        </w:trPr>
        <w:tc>
          <w:tcPr>
            <w:tcW w:w="1008" w:type="dxa"/>
            <w:vMerge w:val="restart"/>
            <w:vAlign w:val="center"/>
          </w:tcPr>
          <w:p w14:paraId="29FC5F4B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养护设施管理(10分)</w:t>
            </w:r>
          </w:p>
        </w:tc>
        <w:tc>
          <w:tcPr>
            <w:tcW w:w="850" w:type="dxa"/>
            <w:vAlign w:val="center"/>
          </w:tcPr>
          <w:p w14:paraId="4978E0A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843" w:type="dxa"/>
          </w:tcPr>
          <w:p w14:paraId="67A4DCC1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其他基础设施：对招标人提供的其他基础设施应保持完好无损。</w:t>
            </w:r>
          </w:p>
        </w:tc>
        <w:tc>
          <w:tcPr>
            <w:tcW w:w="2835" w:type="dxa"/>
          </w:tcPr>
          <w:p w14:paraId="4436FC59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由于养护实施过程中造成道路或广场铺装有破损或凹凸口0.5分/处，外立面破损口0.5分/处，如有破损，须及时修复。</w:t>
            </w:r>
          </w:p>
        </w:tc>
        <w:tc>
          <w:tcPr>
            <w:tcW w:w="1843" w:type="dxa"/>
            <w:vAlign w:val="center"/>
          </w:tcPr>
          <w:p w14:paraId="4B9BA268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CAE878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C85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1008" w:type="dxa"/>
            <w:vMerge w:val="continue"/>
            <w:vAlign w:val="center"/>
          </w:tcPr>
          <w:p w14:paraId="08864C9E">
            <w:pP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B8F8D5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843" w:type="dxa"/>
          </w:tcPr>
          <w:p w14:paraId="48C4A101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养护设施：对招标人提供的养护设施应保持完好无损。</w:t>
            </w:r>
          </w:p>
        </w:tc>
        <w:tc>
          <w:tcPr>
            <w:tcW w:w="2835" w:type="dxa"/>
          </w:tcPr>
          <w:p w14:paraId="247BE797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由于养护实施过程中造成取水栓，滴管，喷头，草花护栏，护树架，种植槽，花盆，花缸等破损扣0.5分/处。</w:t>
            </w:r>
          </w:p>
        </w:tc>
        <w:tc>
          <w:tcPr>
            <w:tcW w:w="1843" w:type="dxa"/>
            <w:vAlign w:val="center"/>
          </w:tcPr>
          <w:p w14:paraId="50562FD8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FF948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B9A6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008" w:type="dxa"/>
            <w:vMerge w:val="restart"/>
            <w:vAlign w:val="center"/>
          </w:tcPr>
          <w:p w14:paraId="45D8802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作业规范管理(12分)</w:t>
            </w:r>
          </w:p>
        </w:tc>
        <w:tc>
          <w:tcPr>
            <w:tcW w:w="850" w:type="dxa"/>
            <w:vMerge w:val="restart"/>
            <w:vAlign w:val="center"/>
          </w:tcPr>
          <w:p w14:paraId="73E818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843" w:type="dxa"/>
          </w:tcPr>
          <w:p w14:paraId="5324F300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①</w:t>
            </w:r>
            <w:r>
              <w:rPr>
                <w:rStyle w:val="7"/>
                <w:rFonts w:hint="default"/>
                <w:lang w:bidi="ar"/>
              </w:rPr>
              <w:t>养护人员上岗必须穿着带有反光标志的统一制服。</w:t>
            </w:r>
          </w:p>
        </w:tc>
        <w:tc>
          <w:tcPr>
            <w:tcW w:w="2835" w:type="dxa"/>
          </w:tcPr>
          <w:p w14:paraId="657E3C04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未穿带有反光标志的统一制服，扣0.1分/人。</w:t>
            </w:r>
          </w:p>
        </w:tc>
        <w:tc>
          <w:tcPr>
            <w:tcW w:w="1843" w:type="dxa"/>
            <w:vAlign w:val="center"/>
          </w:tcPr>
          <w:p w14:paraId="6EDBA07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28EC55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969C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5" w:hRule="atLeast"/>
        </w:trPr>
        <w:tc>
          <w:tcPr>
            <w:tcW w:w="1008" w:type="dxa"/>
            <w:vMerge w:val="continue"/>
            <w:vAlign w:val="center"/>
          </w:tcPr>
          <w:p w14:paraId="6C0AA46B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6392D855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837782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②每日最少到岗人员应满足要求。</w:t>
            </w:r>
          </w:p>
        </w:tc>
        <w:tc>
          <w:tcPr>
            <w:tcW w:w="2835" w:type="dxa"/>
          </w:tcPr>
          <w:p w14:paraId="5CFFB14A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每日最少到岗人员不满足要求的，扣0.1分/人。</w:t>
            </w:r>
          </w:p>
        </w:tc>
        <w:tc>
          <w:tcPr>
            <w:tcW w:w="1843" w:type="dxa"/>
            <w:vAlign w:val="center"/>
          </w:tcPr>
          <w:p w14:paraId="401D302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C7AC07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31AE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008" w:type="dxa"/>
            <w:vMerge w:val="continue"/>
            <w:vAlign w:val="center"/>
          </w:tcPr>
          <w:p w14:paraId="0C7A1732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E54088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843" w:type="dxa"/>
          </w:tcPr>
          <w:p w14:paraId="3AD90E6A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订较完善的养护技术方案，建有工种齐全和相对稳定的养护队伍。及时上报月工作总结及养护计划；做好绿地设施统计报表，要求每月更新一次</w:t>
            </w:r>
          </w:p>
        </w:tc>
        <w:tc>
          <w:tcPr>
            <w:tcW w:w="2835" w:type="dxa"/>
          </w:tcPr>
          <w:p w14:paraId="2A1A9263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月工作总结及养护计划在每月前5日前上报；做好绿地设施统计报表(设施量增减明细)，要求每月更新一次；未达标，扣1分/次。</w:t>
            </w:r>
          </w:p>
        </w:tc>
        <w:tc>
          <w:tcPr>
            <w:tcW w:w="1843" w:type="dxa"/>
            <w:vAlign w:val="center"/>
          </w:tcPr>
          <w:p w14:paraId="7F35192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26EAAB0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ECB7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1008" w:type="dxa"/>
            <w:vMerge w:val="continue"/>
            <w:vAlign w:val="center"/>
          </w:tcPr>
          <w:p w14:paraId="2387A8F7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BCADD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843" w:type="dxa"/>
            <w:vAlign w:val="center"/>
          </w:tcPr>
          <w:p w14:paraId="2CA3549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做好重大活动保障、突发事件处理得当。</w:t>
            </w:r>
          </w:p>
        </w:tc>
        <w:tc>
          <w:tcPr>
            <w:tcW w:w="2835" w:type="dxa"/>
            <w:vAlign w:val="center"/>
          </w:tcPr>
          <w:p w14:paraId="07ACC6F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重大活动保障不力、突发事件处理不当，扣2分/次。</w:t>
            </w:r>
          </w:p>
        </w:tc>
        <w:tc>
          <w:tcPr>
            <w:tcW w:w="1843" w:type="dxa"/>
            <w:vAlign w:val="center"/>
          </w:tcPr>
          <w:p w14:paraId="1B119C0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B6502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780F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6" w:hRule="atLeast"/>
        </w:trPr>
        <w:tc>
          <w:tcPr>
            <w:tcW w:w="1008" w:type="dxa"/>
            <w:vMerge w:val="restart"/>
            <w:vAlign w:val="center"/>
          </w:tcPr>
          <w:p w14:paraId="6791A9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其他(8分)</w:t>
            </w:r>
          </w:p>
        </w:tc>
        <w:tc>
          <w:tcPr>
            <w:tcW w:w="850" w:type="dxa"/>
            <w:vMerge w:val="restart"/>
            <w:vAlign w:val="center"/>
          </w:tcPr>
          <w:p w14:paraId="411224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843" w:type="dxa"/>
          </w:tcPr>
          <w:p w14:paraId="781D434A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Style w:val="7"/>
                <w:rFonts w:hint="default"/>
                <w:lang w:bidi="ar"/>
              </w:rPr>
              <w:t>清洁卫生每日到岗人员应满足要求。</w:t>
            </w:r>
          </w:p>
        </w:tc>
        <w:tc>
          <w:tcPr>
            <w:tcW w:w="2835" w:type="dxa"/>
            <w:vAlign w:val="center"/>
          </w:tcPr>
          <w:p w14:paraId="30ECA8D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 每日到岗人员不满足要求扣0.1分/人。厂区内无卫生死角、养护工具、车辆摆放整齐未达标。一次扣0.1-0.5分。道路有扬尘，烟头纸屑，枯枝落叶一次扣0.1-1分。</w:t>
            </w:r>
          </w:p>
        </w:tc>
        <w:tc>
          <w:tcPr>
            <w:tcW w:w="1843" w:type="dxa"/>
            <w:vAlign w:val="center"/>
          </w:tcPr>
          <w:p w14:paraId="4B24DB2D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F80E3B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E44D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1008" w:type="dxa"/>
            <w:vMerge w:val="continue"/>
            <w:vAlign w:val="center"/>
          </w:tcPr>
          <w:p w14:paraId="313F5DF1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54B2FE89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5C7EE4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重大活动全力配合，处理得当。</w:t>
            </w:r>
          </w:p>
        </w:tc>
        <w:tc>
          <w:tcPr>
            <w:tcW w:w="2835" w:type="dxa"/>
          </w:tcPr>
          <w:p w14:paraId="5B3C9D74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绿地、道路垃圾随扫随清，凡检查或抽查发现垃圾滞留厂区一次扣0.2分。</w:t>
            </w:r>
          </w:p>
        </w:tc>
        <w:tc>
          <w:tcPr>
            <w:tcW w:w="1843" w:type="dxa"/>
            <w:vAlign w:val="center"/>
          </w:tcPr>
          <w:p w14:paraId="48787DA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6A27E0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C245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</w:trPr>
        <w:tc>
          <w:tcPr>
            <w:tcW w:w="1008" w:type="dxa"/>
            <w:vMerge w:val="continue"/>
            <w:vAlign w:val="center"/>
          </w:tcPr>
          <w:p w14:paraId="29EF32A4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18B70DE7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DB126AC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道路无扬尘，烟头纸屑，枯枝落叶。</w:t>
            </w:r>
          </w:p>
        </w:tc>
        <w:tc>
          <w:tcPr>
            <w:tcW w:w="2835" w:type="dxa"/>
          </w:tcPr>
          <w:p w14:paraId="72F99DCD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凡检查或抽查发现烟头纸屑，枯枝落叶滞留厂区一次扣0.2分。</w:t>
            </w:r>
          </w:p>
        </w:tc>
        <w:tc>
          <w:tcPr>
            <w:tcW w:w="1843" w:type="dxa"/>
            <w:vAlign w:val="center"/>
          </w:tcPr>
          <w:p w14:paraId="79C2618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2D1D16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182D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1008" w:type="dxa"/>
            <w:vMerge w:val="continue"/>
            <w:vAlign w:val="center"/>
          </w:tcPr>
          <w:p w14:paraId="1AB29512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 w:val="continue"/>
            <w:vAlign w:val="center"/>
          </w:tcPr>
          <w:p w14:paraId="55DB66C0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3100C5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绿地、道路垃圾随扫随清。</w:t>
            </w:r>
          </w:p>
        </w:tc>
        <w:tc>
          <w:tcPr>
            <w:tcW w:w="2835" w:type="dxa"/>
          </w:tcPr>
          <w:p w14:paraId="7F0E7217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凡检查或抽查发现垃圾滞留厂区一次扣0.2分。</w:t>
            </w:r>
          </w:p>
        </w:tc>
        <w:tc>
          <w:tcPr>
            <w:tcW w:w="1843" w:type="dxa"/>
            <w:vAlign w:val="center"/>
          </w:tcPr>
          <w:p w14:paraId="0E4FEE58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340656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071E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1008" w:type="dxa"/>
            <w:vAlign w:val="center"/>
          </w:tcPr>
          <w:p w14:paraId="05DA1A15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操作</w:t>
            </w:r>
            <w:r>
              <w:rPr>
                <w:rFonts w:hint="eastAsia" w:ascii="宋体" w:hAnsi="宋体" w:cs="宋体"/>
                <w:b/>
                <w:snapToGrid w:val="0"/>
                <w:color w:val="000000"/>
                <w:kern w:val="0"/>
                <w:szCs w:val="21"/>
                <w:lang w:bidi="ar"/>
              </w:rPr>
              <w:t>安全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(5分）</w:t>
            </w:r>
          </w:p>
        </w:tc>
        <w:tc>
          <w:tcPr>
            <w:tcW w:w="850" w:type="dxa"/>
            <w:vAlign w:val="center"/>
          </w:tcPr>
          <w:p w14:paraId="6F6A9291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66E07DE9">
            <w:pPr>
              <w:widowControl/>
              <w:jc w:val="left"/>
              <w:textAlignment w:val="top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作业时规范使用园林机械、农药、化肥，严格遵守操作流程，无违规作业行为。</w:t>
            </w:r>
          </w:p>
        </w:tc>
        <w:tc>
          <w:tcPr>
            <w:tcW w:w="2835" w:type="dxa"/>
          </w:tcPr>
          <w:p w14:paraId="6D615B09">
            <w:pPr>
              <w:jc w:val="left"/>
              <w:rPr>
                <w:rFonts w:hint="eastAsia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使用园林机械操作不规范扣1分/次；违规喷洒农药扣1分/次，存在安全隐患未整改扣1分/次。</w:t>
            </w:r>
          </w:p>
        </w:tc>
        <w:tc>
          <w:tcPr>
            <w:tcW w:w="1843" w:type="dxa"/>
            <w:vAlign w:val="center"/>
          </w:tcPr>
          <w:p w14:paraId="7AFD9F7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ECD962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2EBE0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1008" w:type="dxa"/>
            <w:vAlign w:val="center"/>
          </w:tcPr>
          <w:p w14:paraId="6403FB98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napToGrid w:val="0"/>
                <w:color w:val="000000"/>
                <w:kern w:val="0"/>
                <w:szCs w:val="21"/>
                <w:lang w:bidi="ar"/>
              </w:rPr>
              <w:t>现场安全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(5分）</w:t>
            </w:r>
          </w:p>
        </w:tc>
        <w:tc>
          <w:tcPr>
            <w:tcW w:w="850" w:type="dxa"/>
            <w:vAlign w:val="center"/>
          </w:tcPr>
          <w:p w14:paraId="51B3662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40B211A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高空修剪、机械作业时做好现场防护，摆放警示标识，不影响行人通行，无安全事故发生。</w:t>
            </w:r>
          </w:p>
        </w:tc>
        <w:tc>
          <w:tcPr>
            <w:tcW w:w="2835" w:type="dxa"/>
            <w:vAlign w:val="center"/>
          </w:tcPr>
          <w:p w14:paraId="737C01A1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作业未做防护、未设置安全标识警示，影响公共通行扣1分/次。</w:t>
            </w:r>
          </w:p>
        </w:tc>
        <w:tc>
          <w:tcPr>
            <w:tcW w:w="1843" w:type="dxa"/>
            <w:vAlign w:val="center"/>
          </w:tcPr>
          <w:p w14:paraId="6D285696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2B39F0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0125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atLeast"/>
        </w:trPr>
        <w:tc>
          <w:tcPr>
            <w:tcW w:w="1008" w:type="dxa"/>
            <w:vAlign w:val="center"/>
          </w:tcPr>
          <w:p w14:paraId="590305E4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napToGrid w:val="0"/>
                <w:color w:val="000000"/>
                <w:kern w:val="0"/>
                <w:szCs w:val="21"/>
                <w:lang w:bidi="ar"/>
              </w:rPr>
              <w:t>配合响应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(5分）</w:t>
            </w:r>
          </w:p>
        </w:tc>
        <w:tc>
          <w:tcPr>
            <w:tcW w:w="850" w:type="dxa"/>
            <w:vAlign w:val="center"/>
          </w:tcPr>
          <w:p w14:paraId="1AC1C6C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63A8415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服从管理人员工作安排，积极完成临时绿化任务，工作认真负责、不推诿、不敷衍。</w:t>
            </w:r>
          </w:p>
        </w:tc>
        <w:tc>
          <w:tcPr>
            <w:tcW w:w="2835" w:type="dxa"/>
            <w:vAlign w:val="center"/>
          </w:tcPr>
          <w:p w14:paraId="3891FE1E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未在接到临时任务后24小时内响应的扣1分/次；服务期间拒不服从安排、消极怠工扣2分/次，敷衍完成工作扣1分/次。</w:t>
            </w:r>
          </w:p>
        </w:tc>
        <w:tc>
          <w:tcPr>
            <w:tcW w:w="1843" w:type="dxa"/>
            <w:vAlign w:val="center"/>
          </w:tcPr>
          <w:p w14:paraId="7EBF0798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AFF06E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BD9B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" w:hRule="atLeast"/>
        </w:trPr>
        <w:tc>
          <w:tcPr>
            <w:tcW w:w="1008" w:type="dxa"/>
            <w:vAlign w:val="center"/>
          </w:tcPr>
          <w:p w14:paraId="28BFC290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napToGrid w:val="0"/>
                <w:color w:val="000000"/>
                <w:kern w:val="0"/>
                <w:szCs w:val="21"/>
                <w:lang w:bidi="ar"/>
              </w:rPr>
              <w:t>工具管理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(5分）</w:t>
            </w:r>
          </w:p>
        </w:tc>
        <w:tc>
          <w:tcPr>
            <w:tcW w:w="850" w:type="dxa"/>
            <w:vAlign w:val="center"/>
          </w:tcPr>
          <w:p w14:paraId="2190F6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843" w:type="dxa"/>
            <w:vAlign w:val="center"/>
          </w:tcPr>
          <w:p w14:paraId="5A2D4A29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妥善保管剪刀、割草机、水管等绿化工具，定期清洁保养，工具摆放整齐，无丢失、损坏、乱用情况。</w:t>
            </w:r>
          </w:p>
        </w:tc>
        <w:tc>
          <w:tcPr>
            <w:tcW w:w="2835" w:type="dxa"/>
            <w:vAlign w:val="center"/>
          </w:tcPr>
          <w:p w14:paraId="341B49C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snapToGrid w:val="0"/>
                <w:color w:val="000000"/>
                <w:kern w:val="0"/>
                <w:szCs w:val="21"/>
                <w:lang w:bidi="ar"/>
              </w:rPr>
              <w:t>工具随意摆放、脏乱不保养扣1分/次。</w:t>
            </w:r>
          </w:p>
        </w:tc>
        <w:tc>
          <w:tcPr>
            <w:tcW w:w="1843" w:type="dxa"/>
            <w:vAlign w:val="center"/>
          </w:tcPr>
          <w:p w14:paraId="6C1BF79F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10B845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7E15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</w:trPr>
        <w:tc>
          <w:tcPr>
            <w:tcW w:w="1008" w:type="dxa"/>
            <w:vAlign w:val="center"/>
          </w:tcPr>
          <w:p w14:paraId="00277CA6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考核扣分合计</w:t>
            </w:r>
          </w:p>
        </w:tc>
        <w:tc>
          <w:tcPr>
            <w:tcW w:w="5528" w:type="dxa"/>
            <w:gridSpan w:val="3"/>
          </w:tcPr>
          <w:p w14:paraId="6C70AE33">
            <w:pPr>
              <w:jc w:val="lef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A85B8D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B2764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F2A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5" w:hRule="atLeast"/>
        </w:trPr>
        <w:tc>
          <w:tcPr>
            <w:tcW w:w="1008" w:type="dxa"/>
            <w:vAlign w:val="center"/>
          </w:tcPr>
          <w:p w14:paraId="06F1421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考核得分</w:t>
            </w:r>
          </w:p>
        </w:tc>
        <w:tc>
          <w:tcPr>
            <w:tcW w:w="5528" w:type="dxa"/>
            <w:gridSpan w:val="3"/>
          </w:tcPr>
          <w:p w14:paraId="3D6A8E48">
            <w:pPr>
              <w:jc w:val="left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3CEA99D">
            <w:pPr>
              <w:jc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A60C44">
            <w:pPr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65017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2" w:hRule="atLeast"/>
        </w:trPr>
        <w:tc>
          <w:tcPr>
            <w:tcW w:w="1008" w:type="dxa"/>
            <w:vAlign w:val="center"/>
          </w:tcPr>
          <w:p w14:paraId="796358A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18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20"/>
                <w:lang w:bidi="ar"/>
              </w:rPr>
              <w:t>本月扣减养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szCs w:val="20"/>
                <w:lang w:bidi="ar"/>
              </w:rPr>
              <w:t>护费计算</w:t>
            </w:r>
          </w:p>
        </w:tc>
        <w:tc>
          <w:tcPr>
            <w:tcW w:w="8505" w:type="dxa"/>
            <w:gridSpan w:val="5"/>
            <w:vAlign w:val="center"/>
          </w:tcPr>
          <w:p w14:paraId="6C0A73D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1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18"/>
                <w:lang w:bidi="ar"/>
              </w:rPr>
              <w:t>本月考核分数≥90分为及格</w:t>
            </w:r>
          </w:p>
        </w:tc>
      </w:tr>
      <w:tr w14:paraId="0EBB0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95" w:hRule="atLeast"/>
        </w:trPr>
        <w:tc>
          <w:tcPr>
            <w:tcW w:w="9513" w:type="dxa"/>
            <w:gridSpan w:val="6"/>
          </w:tcPr>
          <w:p w14:paraId="78458F08">
            <w:pPr>
              <w:widowControl/>
              <w:spacing w:line="400" w:lineRule="exact"/>
              <w:jc w:val="left"/>
              <w:textAlignment w:val="top"/>
              <w:rPr>
                <w:rStyle w:val="6"/>
                <w:rFonts w:hint="eastAsia"/>
                <w:b/>
                <w:lang w:bidi="ar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>注：</w:t>
            </w:r>
            <w:r>
              <w:rPr>
                <w:rStyle w:val="6"/>
                <w:rFonts w:hint="eastAsia"/>
                <w:b/>
                <w:lang w:bidi="ar"/>
              </w:rPr>
              <w:t>1. 该考核表由考核人与被考核人各派1名代表每月月底进行一次现场考核评分，并记录保存，评定结果作为季度养护费用结算的依据。</w:t>
            </w:r>
          </w:p>
          <w:p w14:paraId="6CACBA74">
            <w:pPr>
              <w:widowControl/>
              <w:spacing w:line="400" w:lineRule="exact"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Style w:val="6"/>
                <w:rFonts w:hint="eastAsia"/>
                <w:b/>
                <w:lang w:bidi="ar"/>
              </w:rPr>
              <w:t>2.考评标准分总分100分，考评得分≥90，全额支付月绿化养护服务费用，考评分&lt;90时，每少1分则扣除月绿化养护服务费的1％后支付。</w:t>
            </w:r>
          </w:p>
        </w:tc>
      </w:tr>
      <w:tr w14:paraId="33EB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 w:hRule="atLeast"/>
        </w:trPr>
        <w:tc>
          <w:tcPr>
            <w:tcW w:w="9513" w:type="dxa"/>
            <w:gridSpan w:val="6"/>
            <w:vAlign w:val="center"/>
          </w:tcPr>
          <w:p w14:paraId="3DD03CBC"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szCs w:val="20"/>
                <w:lang w:bidi="ar"/>
              </w:rPr>
              <w:t xml:space="preserve">      现场考核人：                                         养管单位负责人：</w:t>
            </w:r>
          </w:p>
        </w:tc>
      </w:tr>
    </w:tbl>
    <w:p w14:paraId="2BD246E4">
      <w:pPr>
        <w:rPr>
          <w:rFonts w:hint="eastAsia"/>
        </w:rPr>
      </w:pPr>
    </w:p>
    <w:sectPr>
      <w:headerReference r:id="rId3" w:type="default"/>
      <w:pgSz w:w="11906" w:h="16838"/>
      <w:pgMar w:top="1361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ont-weight : 400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D9339">
    <w:pPr>
      <w:pStyle w:val="3"/>
      <w:pBdr>
        <w:bottom w:val="none" w:color="auto" w:sz="0" w:space="1"/>
      </w:pBdr>
      <w:wordWrap w:val="0"/>
      <w:jc w:val="both"/>
      <w:rPr>
        <w:rFonts w:hint="eastAsia" w:eastAsia="楷体_GB2312"/>
        <w:sz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C6"/>
    <w:rsid w:val="00821A1C"/>
    <w:rsid w:val="009228C6"/>
    <w:rsid w:val="00992699"/>
    <w:rsid w:val="DE66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21"/>
    <w:basedOn w:val="5"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页眉 字符"/>
    <w:basedOn w:val="5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480</Words>
  <Characters>2736</Characters>
  <Lines>22</Lines>
  <Paragraphs>6</Paragraphs>
  <TotalTime>1</TotalTime>
  <ScaleCrop>false</ScaleCrop>
  <LinksUpToDate>false</LinksUpToDate>
  <CharactersWithSpaces>3210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2026-08-17T15:33:00Z</dcterms:created>
  <dc:creator>HZH</dc:creator>
  <cp:lastModifiedBy>unis</cp:lastModifiedBy>
  <dcterms:modified xsi:type="dcterms:W3CDTF">2026-08-21T10:01:00Z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84E7EC33149E30645CB1876A8CD16DC7_43</vt:lpwstr>
  </property>
</Properties>
</file>