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0B914">
      <w:pPr>
        <w:keepNext w:val="0"/>
        <w:keepLines w:val="0"/>
        <w:pageBreakBefore w:val="0"/>
        <w:widowControl w:val="0"/>
        <w:kinsoku/>
        <w:wordWrap/>
        <w:overflowPunct/>
        <w:topLinePunct w:val="0"/>
        <w:autoSpaceDE/>
        <w:autoSpaceDN/>
        <w:bidi w:val="0"/>
        <w:adjustRightInd/>
        <w:snapToGrid w:val="0"/>
        <w:spacing w:line="480" w:lineRule="exact"/>
        <w:ind w:left="0" w:right="0" w:firstLine="800" w:firstLineChars="200"/>
        <w:jc w:val="center"/>
        <w:textAlignment w:val="auto"/>
        <w:rPr>
          <w:rFonts w:hint="eastAsia" w:ascii="方正小标宋_GBK" w:hAnsi="方正小标宋_GBK" w:eastAsia="方正小标宋_GBK" w:cs="方正小标宋_GBK"/>
          <w:b w:val="0"/>
          <w:bCs/>
          <w:color w:val="auto"/>
          <w:sz w:val="36"/>
          <w:szCs w:val="36"/>
          <w:highlight w:val="none"/>
        </w:rPr>
      </w:pPr>
      <w:r>
        <w:rPr>
          <w:rFonts w:hint="eastAsia" w:ascii="方正小标宋_GBK" w:hAnsi="方正小标宋_GBK" w:eastAsia="方正小标宋_GBK" w:cs="方正小标宋_GBK"/>
          <w:b w:val="0"/>
          <w:bCs/>
          <w:color w:val="auto"/>
          <w:sz w:val="40"/>
          <w:szCs w:val="40"/>
          <w:highlight w:val="none"/>
          <w:lang w:eastAsia="zh-CN"/>
        </w:rPr>
        <w:t>晋安湖公园水上娱乐业态短期经营服务</w:t>
      </w:r>
      <w:r>
        <w:rPr>
          <w:rFonts w:hint="eastAsia" w:ascii="方正小标宋_GBK" w:hAnsi="方正小标宋_GBK" w:eastAsia="方正小标宋_GBK" w:cs="方正小标宋_GBK"/>
          <w:b w:val="0"/>
          <w:bCs/>
          <w:color w:val="auto"/>
          <w:sz w:val="40"/>
          <w:szCs w:val="40"/>
          <w:highlight w:val="none"/>
        </w:rPr>
        <w:t>合同</w:t>
      </w:r>
    </w:p>
    <w:p w14:paraId="19B26C6A">
      <w:pPr>
        <w:pStyle w:val="3"/>
        <w:keepNext w:val="0"/>
        <w:pageBreakBefore w:val="0"/>
        <w:kinsoku/>
        <w:overflowPunct/>
        <w:topLinePunct w:val="0"/>
        <w:autoSpaceDE/>
        <w:autoSpaceDN/>
        <w:bidi w:val="0"/>
        <w:spacing w:line="480" w:lineRule="exact"/>
        <w:ind w:left="0" w:right="0" w:firstLine="560" w:firstLineChars="200"/>
        <w:rPr>
          <w:rFonts w:hint="eastAsia" w:ascii="仿宋" w:hAnsi="仿宋" w:eastAsia="仿宋" w:cs="仿宋"/>
          <w:color w:val="auto"/>
          <w:sz w:val="28"/>
          <w:szCs w:val="28"/>
          <w:highlight w:val="none"/>
        </w:rPr>
      </w:pPr>
    </w:p>
    <w:p w14:paraId="4D669891">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甲方：福州市水务文化旅游有限公司（以下简称甲方） </w:t>
      </w:r>
    </w:p>
    <w:p w14:paraId="00862B6D">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地址：</w:t>
      </w:r>
      <w:r>
        <w:rPr>
          <w:rFonts w:hint="eastAsia" w:ascii="仿宋" w:hAnsi="仿宋" w:eastAsia="仿宋" w:cs="仿宋"/>
          <w:color w:val="auto"/>
          <w:sz w:val="28"/>
          <w:szCs w:val="28"/>
          <w:highlight w:val="none"/>
          <w:lang w:val="en-US" w:eastAsia="zh-CN"/>
        </w:rPr>
        <w:t>福建省福州市台江区国货西路318号天榕花园C座一单元101室</w:t>
      </w:r>
    </w:p>
    <w:p w14:paraId="747D5F75">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乙方：</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（以下简称乙方）</w:t>
      </w:r>
    </w:p>
    <w:p w14:paraId="421567C8">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地址：</w:t>
      </w:r>
    </w:p>
    <w:p w14:paraId="1A251CD4">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根据甲方</w:t>
      </w:r>
      <w:r>
        <w:rPr>
          <w:rFonts w:hint="eastAsia" w:ascii="仿宋" w:hAnsi="仿宋" w:eastAsia="仿宋" w:cs="仿宋"/>
          <w:color w:val="auto"/>
          <w:sz w:val="28"/>
          <w:szCs w:val="28"/>
          <w:highlight w:val="none"/>
          <w:u w:val="single"/>
          <w:lang w:eastAsia="zh-CN"/>
        </w:rPr>
        <w:t>晋安湖公园水上娱乐业态短期经营服务</w:t>
      </w:r>
      <w:r>
        <w:rPr>
          <w:rFonts w:hint="eastAsia" w:ascii="仿宋" w:hAnsi="仿宋" w:eastAsia="仿宋" w:cs="仿宋"/>
          <w:color w:val="auto"/>
          <w:sz w:val="28"/>
          <w:szCs w:val="28"/>
          <w:highlight w:val="none"/>
        </w:rPr>
        <w:t>项目进行</w:t>
      </w:r>
      <w:r>
        <w:rPr>
          <w:rFonts w:hint="eastAsia" w:ascii="仿宋" w:hAnsi="仿宋" w:eastAsia="仿宋" w:cs="仿宋"/>
          <w:color w:val="auto"/>
          <w:sz w:val="28"/>
          <w:szCs w:val="28"/>
          <w:highlight w:val="none"/>
          <w:lang w:val="en-US" w:eastAsia="zh-CN"/>
        </w:rPr>
        <w:t>询比采购</w:t>
      </w:r>
      <w:r>
        <w:rPr>
          <w:rFonts w:hint="eastAsia" w:ascii="仿宋" w:hAnsi="仿宋" w:eastAsia="仿宋" w:cs="仿宋"/>
          <w:color w:val="auto"/>
          <w:sz w:val="28"/>
          <w:szCs w:val="28"/>
          <w:highlight w:val="none"/>
        </w:rPr>
        <w:t>结果，乙方为该项目</w:t>
      </w:r>
      <w:r>
        <w:rPr>
          <w:rFonts w:hint="eastAsia" w:ascii="仿宋" w:hAnsi="仿宋" w:eastAsia="仿宋" w:cs="仿宋"/>
          <w:color w:val="auto"/>
          <w:sz w:val="28"/>
          <w:szCs w:val="28"/>
          <w:highlight w:val="none"/>
          <w:lang w:val="en-US" w:eastAsia="zh-CN"/>
        </w:rPr>
        <w:t>成交人，现依照采购文件、响应文件、</w:t>
      </w:r>
      <w:r>
        <w:rPr>
          <w:rFonts w:hint="eastAsia" w:ascii="仿宋" w:hAnsi="仿宋" w:eastAsia="仿宋" w:cs="仿宋"/>
          <w:color w:val="auto"/>
          <w:sz w:val="28"/>
          <w:szCs w:val="28"/>
          <w:highlight w:val="none"/>
        </w:rPr>
        <w:t>《中华人民共和国民法典》及相关法律、法规等，甲乙双方经共同协商，本着相互信任，相互支持的原则，</w:t>
      </w:r>
      <w:r>
        <w:rPr>
          <w:rFonts w:hint="eastAsia" w:ascii="仿宋" w:hAnsi="仿宋" w:eastAsia="仿宋" w:cs="仿宋"/>
          <w:color w:val="auto"/>
          <w:sz w:val="28"/>
          <w:szCs w:val="28"/>
          <w:highlight w:val="none"/>
          <w:lang w:val="en-US" w:eastAsia="zh-CN"/>
        </w:rPr>
        <w:t>订立本合同</w:t>
      </w:r>
      <w:r>
        <w:rPr>
          <w:rFonts w:hint="eastAsia" w:ascii="仿宋" w:hAnsi="仿宋" w:eastAsia="仿宋" w:cs="仿宋"/>
          <w:color w:val="auto"/>
          <w:sz w:val="28"/>
          <w:szCs w:val="28"/>
          <w:highlight w:val="none"/>
        </w:rPr>
        <w:t>，以资共同遵守。</w:t>
      </w:r>
    </w:p>
    <w:p w14:paraId="24CE0F6F">
      <w:pPr>
        <w:keepNext w:val="0"/>
        <w:pageBreakBefore w:val="0"/>
        <w:numPr>
          <w:ilvl w:val="0"/>
          <w:numId w:val="0"/>
        </w:numPr>
        <w:kinsoku/>
        <w:overflowPunct/>
        <w:topLinePunct w:val="0"/>
        <w:autoSpaceDE/>
        <w:autoSpaceDN/>
        <w:bidi w:val="0"/>
        <w:spacing w:line="480" w:lineRule="exact"/>
        <w:ind w:left="0" w:leftChars="0" w:right="0" w:rightChars="0" w:firstLine="640" w:firstLineChars="200"/>
        <w:jc w:val="left"/>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kern w:val="2"/>
          <w:sz w:val="32"/>
          <w:szCs w:val="32"/>
          <w:lang w:val="en-US" w:eastAsia="zh-CN" w:bidi="ar-SA"/>
        </w:rPr>
        <w:t>一、</w:t>
      </w:r>
      <w:r>
        <w:rPr>
          <w:rFonts w:hint="eastAsia" w:ascii="黑体" w:hAnsi="黑体" w:eastAsia="黑体" w:cs="黑体"/>
          <w:b w:val="0"/>
          <w:bCs w:val="0"/>
          <w:color w:val="auto"/>
          <w:sz w:val="32"/>
          <w:szCs w:val="32"/>
          <w:highlight w:val="none"/>
          <w:lang w:val="en-US" w:eastAsia="zh-CN"/>
        </w:rPr>
        <w:t>采购</w:t>
      </w:r>
      <w:r>
        <w:rPr>
          <w:rFonts w:hint="eastAsia" w:ascii="黑体" w:hAnsi="黑体" w:eastAsia="黑体" w:cs="黑体"/>
          <w:b w:val="0"/>
          <w:bCs w:val="0"/>
          <w:color w:val="auto"/>
          <w:sz w:val="32"/>
          <w:szCs w:val="32"/>
          <w:highlight w:val="none"/>
        </w:rPr>
        <w:t>项目</w:t>
      </w:r>
      <w:r>
        <w:rPr>
          <w:rFonts w:hint="eastAsia" w:ascii="黑体" w:hAnsi="黑体" w:eastAsia="黑体" w:cs="黑体"/>
          <w:b w:val="0"/>
          <w:bCs w:val="0"/>
          <w:color w:val="auto"/>
          <w:sz w:val="32"/>
          <w:szCs w:val="32"/>
          <w:highlight w:val="none"/>
          <w:lang w:val="en-US" w:eastAsia="zh-CN"/>
        </w:rPr>
        <w:t>内容及要求</w:t>
      </w:r>
    </w:p>
    <w:p w14:paraId="4B4E8C5B">
      <w:pPr>
        <w:keepNext w:val="0"/>
        <w:pageBreakBefore w:val="0"/>
        <w:kinsoku/>
        <w:overflowPunct/>
        <w:topLinePunct w:val="0"/>
        <w:autoSpaceDE/>
        <w:autoSpaceDN/>
        <w:bidi w:val="0"/>
        <w:spacing w:line="480" w:lineRule="exact"/>
        <w:ind w:left="0" w:right="0" w:firstLine="562" w:firstLineChars="200"/>
        <w:jc w:val="left"/>
        <w:rPr>
          <w:rFonts w:hint="eastAsia"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1.项目名称：</w:t>
      </w:r>
      <w:r>
        <w:rPr>
          <w:rFonts w:hint="eastAsia" w:ascii="仿宋" w:hAnsi="仿宋" w:eastAsia="仿宋" w:cs="仿宋"/>
          <w:color w:val="auto"/>
          <w:sz w:val="28"/>
          <w:szCs w:val="28"/>
          <w:highlight w:val="none"/>
          <w:u w:val="single"/>
          <w:lang w:eastAsia="zh-CN"/>
        </w:rPr>
        <w:t>晋安湖公园水上娱乐业态短期经营服务</w:t>
      </w:r>
    </w:p>
    <w:p w14:paraId="22A81B40">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2" w:firstLineChars="200"/>
        <w:jc w:val="left"/>
        <w:textAlignment w:val="auto"/>
        <w:rPr>
          <w:rFonts w:hint="eastAsia" w:ascii="仿宋" w:hAnsi="仿宋" w:eastAsia="仿宋" w:cs="仿宋"/>
          <w:b/>
          <w:bCs/>
          <w:kern w:val="0"/>
          <w:sz w:val="28"/>
          <w:szCs w:val="28"/>
          <w:lang w:val="en-US" w:eastAsia="zh-CN" w:bidi="ar"/>
        </w:rPr>
      </w:pPr>
      <w:r>
        <w:rPr>
          <w:rFonts w:hint="eastAsia" w:ascii="仿宋" w:hAnsi="仿宋" w:eastAsia="仿宋" w:cs="仿宋"/>
          <w:b/>
          <w:bCs/>
          <w:color w:val="auto"/>
          <w:sz w:val="28"/>
          <w:szCs w:val="28"/>
          <w:highlight w:val="none"/>
          <w:lang w:val="en-US" w:eastAsia="zh-CN"/>
        </w:rPr>
        <w:t>2.</w:t>
      </w:r>
      <w:r>
        <w:rPr>
          <w:rFonts w:hint="eastAsia" w:ascii="仿宋" w:hAnsi="仿宋" w:eastAsia="仿宋" w:cs="仿宋"/>
          <w:b/>
          <w:bCs/>
          <w:kern w:val="0"/>
          <w:sz w:val="28"/>
          <w:szCs w:val="28"/>
          <w:lang w:val="en-US" w:eastAsia="zh-CN" w:bidi="ar"/>
        </w:rPr>
        <w:t>项目内容：</w:t>
      </w:r>
    </w:p>
    <w:p w14:paraId="735B49CF">
      <w:pPr>
        <w:keepNext w:val="0"/>
        <w:keepLines/>
        <w:pageBreakBefore w:val="0"/>
        <w:widowControl/>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本项目位于福州市晋安湖公园，运营范围仅限公园指定湖体水域及茉莉花码头及2号码头，服务周期为合同签订之日起6个月</w:t>
      </w:r>
      <w:r>
        <w:rPr>
          <w:rFonts w:hint="eastAsia" w:ascii="仿宋" w:hAnsi="仿宋" w:eastAsia="仿宋" w:cs="仿宋"/>
          <w:kern w:val="0"/>
          <w:sz w:val="28"/>
          <w:szCs w:val="28"/>
          <w:highlight w:val="none"/>
          <w:lang w:val="en-US" w:eastAsia="zh-CN" w:bidi="ar"/>
        </w:rPr>
        <w:t>（服务期间，甲方可根据项目需要随时停止服务周期，乙方应无条件配合）</w:t>
      </w:r>
      <w:r>
        <w:rPr>
          <w:rFonts w:hint="eastAsia" w:ascii="仿宋" w:hAnsi="仿宋" w:eastAsia="仿宋" w:cs="仿宋"/>
          <w:kern w:val="0"/>
          <w:sz w:val="28"/>
          <w:szCs w:val="28"/>
          <w:lang w:val="en-US" w:eastAsia="zh-CN" w:bidi="ar"/>
        </w:rPr>
        <w:t>。</w:t>
      </w:r>
    </w:p>
    <w:p w14:paraId="742B499F">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由乙方负责项目整体运营、码头</w:t>
      </w:r>
      <w:bookmarkStart w:id="1" w:name="_GoBack"/>
      <w:bookmarkEnd w:id="1"/>
      <w:r>
        <w:rPr>
          <w:rFonts w:hint="eastAsia" w:ascii="仿宋" w:hAnsi="仿宋" w:eastAsia="仿宋" w:cs="仿宋"/>
          <w:kern w:val="0"/>
          <w:sz w:val="28"/>
          <w:szCs w:val="28"/>
          <w:lang w:val="en-US" w:eastAsia="zh-CN" w:bidi="ar"/>
        </w:rPr>
        <w:t>运维、场地保洁、隐患排查、现场管理、游客服务、安全管控、应急救护及信访协同处置，合规开展水上休闲项目及体育赛事策划、保障、组织服务及文体活动配套服务，并承担相关费用。</w:t>
      </w:r>
    </w:p>
    <w:p w14:paraId="5FDB7356">
      <w:pPr>
        <w:keepNext w:val="0"/>
        <w:keepLines w:val="0"/>
        <w:pageBreakBefore w:val="0"/>
        <w:widowControl/>
        <w:numPr>
          <w:ilvl w:val="-1"/>
          <w:numId w:val="0"/>
        </w:numPr>
        <w:wordWrap/>
        <w:overflowPunct/>
        <w:topLinePunct w:val="0"/>
        <w:autoSpaceDE/>
        <w:autoSpaceDN/>
        <w:bidi w:val="0"/>
        <w:spacing w:line="480" w:lineRule="exact"/>
        <w:ind w:left="0" w:right="0" w:firstLine="562" w:firstLineChars="200"/>
        <w:jc w:val="left"/>
        <w:rPr>
          <w:rFonts w:hint="eastAsia" w:ascii="仿宋" w:hAnsi="仿宋" w:eastAsia="仿宋" w:cs="仿宋"/>
          <w:b/>
          <w:bCs/>
          <w:kern w:val="0"/>
          <w:sz w:val="28"/>
          <w:szCs w:val="28"/>
          <w:lang w:val="en-US" w:eastAsia="zh-CN" w:bidi="ar"/>
        </w:rPr>
      </w:pPr>
      <w:r>
        <w:rPr>
          <w:rFonts w:hint="eastAsia" w:ascii="仿宋" w:hAnsi="仿宋" w:eastAsia="仿宋" w:cs="仿宋"/>
          <w:b/>
          <w:bCs/>
          <w:color w:val="auto"/>
          <w:sz w:val="28"/>
          <w:szCs w:val="28"/>
          <w:highlight w:val="none"/>
          <w:lang w:val="en-US" w:eastAsia="zh-CN"/>
        </w:rPr>
        <w:t>3.</w:t>
      </w:r>
      <w:r>
        <w:rPr>
          <w:rFonts w:hint="eastAsia" w:ascii="仿宋" w:hAnsi="仿宋" w:eastAsia="仿宋" w:cs="仿宋"/>
          <w:b/>
          <w:bCs/>
          <w:kern w:val="0"/>
          <w:sz w:val="28"/>
          <w:szCs w:val="28"/>
          <w:lang w:val="en-US" w:eastAsia="zh-CN" w:bidi="ar"/>
        </w:rPr>
        <w:t>项目运营区域</w:t>
      </w:r>
    </w:p>
    <w:p w14:paraId="4CD2E8C7">
      <w:pPr>
        <w:keepNext w:val="0"/>
        <w:keepLines/>
        <w:pageBreakBefore w:val="0"/>
        <w:widowControl w:val="0"/>
        <w:kinsoku/>
        <w:wordWrap w:val="0"/>
        <w:overflowPunct/>
        <w:topLinePunct w:val="0"/>
        <w:autoSpaceDE/>
        <w:autoSpaceDN/>
        <w:bidi w:val="0"/>
        <w:adjustRightInd/>
        <w:snapToGrid/>
        <w:spacing w:line="240" w:lineRule="auto"/>
        <w:ind w:left="0" w:right="0" w:rightChars="0" w:firstLine="560" w:firstLineChars="200"/>
        <w:jc w:val="center"/>
        <w:textAlignment w:val="auto"/>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drawing>
          <wp:inline distT="0" distB="0" distL="114300" distR="114300">
            <wp:extent cx="4262755" cy="2414905"/>
            <wp:effectExtent l="0" t="0" r="4445" b="4445"/>
            <wp:docPr id="1" name="图片 1" descr="9fabfdd6-f859-43b6-bc95-f2b314a8f1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fabfdd6-f859-43b6-bc95-f2b314a8f1f6"/>
                    <pic:cNvPicPr>
                      <a:picLocks noChangeAspect="1"/>
                    </pic:cNvPicPr>
                  </pic:nvPicPr>
                  <pic:blipFill>
                    <a:blip r:embed="rId4"/>
                    <a:stretch>
                      <a:fillRect/>
                    </a:stretch>
                  </pic:blipFill>
                  <pic:spPr>
                    <a:xfrm>
                      <a:off x="0" y="0"/>
                      <a:ext cx="4262755" cy="2414905"/>
                    </a:xfrm>
                    <a:prstGeom prst="rect">
                      <a:avLst/>
                    </a:prstGeom>
                    <a:noFill/>
                    <a:ln>
                      <a:noFill/>
                    </a:ln>
                  </pic:spPr>
                </pic:pic>
              </a:graphicData>
            </a:graphic>
          </wp:inline>
        </w:drawing>
      </w:r>
    </w:p>
    <w:p w14:paraId="4DA0056E">
      <w:pPr>
        <w:spacing w:line="480" w:lineRule="exact"/>
        <w:ind w:firstLine="560" w:firstLineChars="200"/>
        <w:jc w:val="center"/>
        <w:rPr>
          <w:rFonts w:hint="eastAsia" w:ascii="仿宋" w:hAnsi="仿宋" w:eastAsia="仿宋" w:cs="仿宋"/>
          <w:sz w:val="28"/>
          <w:szCs w:val="28"/>
          <w:lang w:val="en-US" w:eastAsia="zh-CN"/>
        </w:rPr>
      </w:pPr>
      <w:r>
        <w:rPr>
          <w:rFonts w:hint="eastAsia" w:ascii="仿宋" w:hAnsi="仿宋" w:eastAsia="仿宋" w:cs="仿宋"/>
          <w:color w:val="auto"/>
          <w:sz w:val="28"/>
          <w:szCs w:val="28"/>
          <w:highlight w:val="none"/>
          <w:vertAlign w:val="baseline"/>
          <w:lang w:val="en-US" w:eastAsia="zh-CN"/>
        </w:rPr>
        <w:t>晋安湖公园水上娱乐业态短期经营服务</w:t>
      </w:r>
      <w:r>
        <w:rPr>
          <w:rFonts w:hint="eastAsia" w:ascii="仿宋" w:hAnsi="仿宋" w:eastAsia="仿宋" w:cs="仿宋"/>
          <w:kern w:val="0"/>
          <w:sz w:val="28"/>
          <w:szCs w:val="28"/>
          <w:lang w:val="en-US" w:eastAsia="zh-CN" w:bidi="ar"/>
        </w:rPr>
        <w:t>运营区域</w:t>
      </w:r>
    </w:p>
    <w:p w14:paraId="5B7DEC90">
      <w:pPr>
        <w:spacing w:line="480" w:lineRule="exact"/>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4.</w:t>
      </w:r>
      <w:r>
        <w:rPr>
          <w:rFonts w:hint="eastAsia" w:ascii="仿宋" w:hAnsi="仿宋" w:eastAsia="仿宋" w:cs="仿宋"/>
          <w:b/>
          <w:bCs/>
          <w:color w:val="auto"/>
          <w:sz w:val="28"/>
          <w:szCs w:val="28"/>
          <w:highlight w:val="none"/>
        </w:rPr>
        <w:t>人员配置</w:t>
      </w:r>
      <w:r>
        <w:rPr>
          <w:rFonts w:hint="eastAsia" w:ascii="仿宋" w:hAnsi="仿宋" w:eastAsia="仿宋" w:cs="仿宋"/>
          <w:b/>
          <w:bCs/>
          <w:color w:val="auto"/>
          <w:sz w:val="28"/>
          <w:szCs w:val="28"/>
          <w:highlight w:val="none"/>
          <w:lang w:val="en-US" w:eastAsia="zh-CN"/>
        </w:rPr>
        <w:t>要求</w:t>
      </w:r>
    </w:p>
    <w:p w14:paraId="7D45E256">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要求乙方为本项目至少配置8名专职人员，其中</w:t>
      </w:r>
      <w:bookmarkStart w:id="0" w:name="OLE_LINK5"/>
      <w:r>
        <w:rPr>
          <w:rFonts w:hint="eastAsia" w:ascii="仿宋" w:hAnsi="仿宋" w:eastAsia="仿宋" w:cs="仿宋"/>
          <w:kern w:val="0"/>
          <w:sz w:val="28"/>
          <w:szCs w:val="28"/>
          <w:lang w:val="en-US" w:eastAsia="zh-CN" w:bidi="ar"/>
        </w:rPr>
        <w:t>2名</w:t>
      </w:r>
      <w:bookmarkEnd w:id="0"/>
      <w:r>
        <w:rPr>
          <w:rFonts w:hint="eastAsia" w:ascii="仿宋" w:hAnsi="仿宋" w:eastAsia="仿宋" w:cs="仿宋"/>
          <w:kern w:val="0"/>
          <w:sz w:val="28"/>
          <w:szCs w:val="28"/>
          <w:lang w:val="en-US" w:eastAsia="zh-CN" w:bidi="ar"/>
        </w:rPr>
        <w:t>救生员及2名皮划艇教练需持证上岗、定岗值守，保障项目规范运营。</w:t>
      </w:r>
    </w:p>
    <w:p w14:paraId="55E37C98">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4.1乙方人员岗位配置</w:t>
      </w:r>
    </w:p>
    <w:p w14:paraId="3BB68519">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（1）运营人员4名：负责码头日常运营、游客接待、秩序维护、设备台账管理、日常巡检、信访对接及资料归档等综合运营工作；</w:t>
      </w:r>
    </w:p>
    <w:p w14:paraId="6588DF75">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（2）救生员2名：专职负责水域安全巡查、游客安全监护、水上应急救援、隐患排查等安全保障工作；</w:t>
      </w:r>
    </w:p>
    <w:p w14:paraId="2428C927">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（3）皮划艇教练2名：负责水上项目教学、安全指导及活动技术保障。</w:t>
      </w:r>
    </w:p>
    <w:p w14:paraId="25EBD579">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4.2乙方人员资质要求</w:t>
      </w:r>
    </w:p>
    <w:p w14:paraId="7A9EE526">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2名救生员需具备《游泳救生员》、2名皮划艇教练需具备《教练证》（包含但不仅限于国家体育总局职业技能鉴定指导中心、人力资源和社会保障部门、职业技能鉴定中心或体育行政主管部门等）核发的有效职业资格或技能等级证书；证书须在有效期内，相关证件复印件留存备案；所有在岗人员均需完成岗前安全救护及服务规范专项培训。</w:t>
      </w:r>
    </w:p>
    <w:p w14:paraId="134E8B42">
      <w:pPr>
        <w:spacing w:line="480" w:lineRule="exact"/>
        <w:ind w:firstLine="562" w:firstLineChars="200"/>
        <w:rPr>
          <w:rFonts w:hint="eastAsia" w:ascii="仿宋" w:hAnsi="仿宋" w:eastAsia="仿宋" w:cs="仿宋"/>
          <w:b/>
          <w:bCs/>
          <w:color w:val="auto"/>
          <w:kern w:val="2"/>
          <w:sz w:val="28"/>
          <w:szCs w:val="28"/>
          <w:highlight w:val="none"/>
          <w:lang w:val="en-US" w:eastAsia="zh-CN" w:bidi="ar"/>
        </w:rPr>
      </w:pPr>
      <w:r>
        <w:rPr>
          <w:rFonts w:hint="eastAsia" w:ascii="仿宋" w:hAnsi="仿宋" w:eastAsia="仿宋" w:cs="仿宋"/>
          <w:b/>
          <w:bCs/>
          <w:color w:val="auto"/>
          <w:sz w:val="28"/>
          <w:szCs w:val="28"/>
          <w:highlight w:val="none"/>
          <w:lang w:val="en-US" w:eastAsia="zh-CN"/>
        </w:rPr>
        <w:t>5.设备配置要求</w:t>
      </w:r>
    </w:p>
    <w:p w14:paraId="62AD3A14">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5.1乙方需投入不少于25块浆板、7艘皮划艇。</w:t>
      </w:r>
    </w:p>
    <w:p w14:paraId="15406762">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5.2乙方所有提供的水上设备须具备有效合格证件或机构认证文件，统一归档备查；设备采购、吊装、维保、维修、更换等全部工作及相关费用由乙方全权承担，常态化开展安全检测，确保设备合规安全运营。</w:t>
      </w:r>
    </w:p>
    <w:p w14:paraId="4104DFAB">
      <w:pPr>
        <w:keepNext w:val="0"/>
        <w:keepLines/>
        <w:pageBreakBefore w:val="0"/>
        <w:widowControl/>
        <w:numPr>
          <w:ilvl w:val="0"/>
          <w:numId w:val="0"/>
        </w:numPr>
        <w:wordWrap w:val="0"/>
        <w:overflowPunct/>
        <w:topLinePunct w:val="0"/>
        <w:autoSpaceDE/>
        <w:autoSpaceDN/>
        <w:bidi w:val="0"/>
        <w:spacing w:line="480" w:lineRule="exact"/>
        <w:ind w:left="0" w:right="0" w:firstLine="560" w:firstLineChars="200"/>
        <w:jc w:val="left"/>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5.3乙方应负责配合开展现场甲方自驾游船设备的规范使用及日常管护。</w:t>
      </w:r>
    </w:p>
    <w:p w14:paraId="2FD2F690">
      <w:pPr>
        <w:spacing w:line="480" w:lineRule="exact"/>
        <w:ind w:firstLine="562" w:firstLineChars="200"/>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6.</w:t>
      </w:r>
      <w:r>
        <w:rPr>
          <w:rFonts w:hint="eastAsia" w:ascii="仿宋" w:hAnsi="仿宋" w:eastAsia="仿宋" w:cs="仿宋"/>
          <w:b/>
          <w:bCs/>
          <w:color w:val="auto"/>
          <w:sz w:val="28"/>
          <w:szCs w:val="28"/>
          <w:highlight w:val="none"/>
        </w:rPr>
        <w:t>现场运营与安全管理</w:t>
      </w:r>
      <w:r>
        <w:rPr>
          <w:rFonts w:hint="eastAsia" w:ascii="仿宋" w:hAnsi="仿宋" w:eastAsia="仿宋" w:cs="仿宋"/>
          <w:b/>
          <w:bCs/>
          <w:color w:val="auto"/>
          <w:sz w:val="28"/>
          <w:szCs w:val="28"/>
          <w:highlight w:val="none"/>
          <w:lang w:val="en-US" w:eastAsia="zh-CN"/>
        </w:rPr>
        <w:t>要求</w:t>
      </w:r>
    </w:p>
    <w:p w14:paraId="6F3ABDBB">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6.1经营管控：</w:t>
      </w:r>
      <w:r>
        <w:rPr>
          <w:rFonts w:hint="eastAsia" w:ascii="仿宋" w:hAnsi="仿宋" w:eastAsia="仿宋" w:cs="仿宋"/>
          <w:i w:val="0"/>
          <w:iCs w:val="0"/>
          <w:caps w:val="0"/>
          <w:color w:val="auto"/>
          <w:spacing w:val="0"/>
          <w:kern w:val="0"/>
          <w:sz w:val="28"/>
          <w:szCs w:val="28"/>
          <w:shd w:val="clear" w:fill="auto"/>
          <w:lang w:bidi="ar"/>
        </w:rPr>
        <w:t>仅限湖体水域（现有规定水域）、茉莉花码头及2号码头（保持船舶现状停靠）合规经营，严禁跨区域、超业态、违规经营</w:t>
      </w:r>
      <w:r>
        <w:rPr>
          <w:rFonts w:hint="eastAsia" w:ascii="仿宋" w:hAnsi="仿宋" w:eastAsia="仿宋" w:cs="仿宋"/>
          <w:kern w:val="0"/>
          <w:sz w:val="28"/>
          <w:szCs w:val="28"/>
          <w:lang w:val="en-US" w:eastAsia="zh-CN" w:bidi="ar"/>
        </w:rPr>
        <w:t>。</w:t>
      </w:r>
    </w:p>
    <w:p w14:paraId="1FB056A7">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6.2现场服务：实行标准化服务管理，妥善处置游客咨询、投诉及信访问题，落实场地防火、防盗、保洁及设施养护工作。</w:t>
      </w:r>
    </w:p>
    <w:p w14:paraId="4C1CC4A7">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6.3安全责任：乙方为项目安全第一责任主体，全面承担运营期间人员、游客、设备及场地安全风险，自行承担全部安全运维费用，常态化开展隐患排查，杜绝安全事故。</w:t>
      </w:r>
    </w:p>
    <w:p w14:paraId="3F741F70">
      <w:pPr>
        <w:keepLines/>
        <w:widowControl/>
        <w:numPr>
          <w:ilvl w:val="0"/>
          <w:numId w:val="0"/>
        </w:numPr>
        <w:wordWrap w:val="0"/>
        <w:spacing w:line="480" w:lineRule="exact"/>
        <w:ind w:firstLine="560" w:firstLineChars="200"/>
        <w:jc w:val="left"/>
        <w:rPr>
          <w:rFonts w:hint="eastAsia" w:ascii="仿宋" w:hAnsi="仿宋" w:eastAsia="仿宋" w:cs="仿宋"/>
          <w:sz w:val="28"/>
          <w:szCs w:val="28"/>
          <w:lang w:val="en-US" w:eastAsia="zh-CN"/>
        </w:rPr>
      </w:pPr>
      <w:r>
        <w:rPr>
          <w:rFonts w:hint="eastAsia" w:ascii="仿宋" w:hAnsi="仿宋" w:eastAsia="仿宋" w:cs="仿宋"/>
          <w:kern w:val="0"/>
          <w:sz w:val="28"/>
          <w:szCs w:val="28"/>
          <w:lang w:val="en-US" w:eastAsia="zh-CN" w:bidi="ar"/>
        </w:rPr>
        <w:t>6.4应急处置：建立完善应急预案，遇极端天气、设备故障、人员伤病、溺水等突发事件，第一时间开展现场救护、险情处置、人员疏散，同步上报甲方并留存台账记录。</w:t>
      </w:r>
    </w:p>
    <w:p w14:paraId="77724333">
      <w:pPr>
        <w:keepNext w:val="0"/>
        <w:pageBreakBefore w:val="0"/>
        <w:numPr>
          <w:ilvl w:val="0"/>
          <w:numId w:val="0"/>
        </w:numPr>
        <w:kinsoku/>
        <w:overflowPunct/>
        <w:topLinePunct w:val="0"/>
        <w:autoSpaceDE/>
        <w:autoSpaceDN/>
        <w:bidi w:val="0"/>
        <w:spacing w:line="480" w:lineRule="exact"/>
        <w:ind w:left="0" w:leftChars="0" w:right="0" w:rightChars="0" w:firstLine="640" w:firstLineChars="200"/>
        <w:jc w:val="left"/>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二、服务费</w:t>
      </w:r>
    </w:p>
    <w:p w14:paraId="76F515D8">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rPr>
        <w:t>1.合同总金额暂定为：大写人民币</w:t>
      </w:r>
      <w:r>
        <w:rPr>
          <w:rFonts w:hint="eastAsia" w:ascii="仿宋" w:hAnsi="仿宋" w:eastAsia="仿宋" w:cs="仿宋"/>
          <w:color w:val="auto"/>
          <w:sz w:val="28"/>
          <w:szCs w:val="28"/>
          <w:u w:val="single"/>
        </w:rPr>
        <w:t xml:space="preserve"> XXX 元整</w:t>
      </w:r>
      <w:r>
        <w:rPr>
          <w:rFonts w:hint="eastAsia" w:ascii="仿宋" w:hAnsi="仿宋" w:eastAsia="仿宋" w:cs="仿宋"/>
          <w:color w:val="auto"/>
          <w:sz w:val="28"/>
          <w:szCs w:val="28"/>
        </w:rPr>
        <w:t>(小写：</w:t>
      </w:r>
      <w:r>
        <w:rPr>
          <w:rFonts w:hint="eastAsia" w:ascii="仿宋" w:hAnsi="仿宋" w:eastAsia="仿宋" w:cs="仿宋"/>
          <w:color w:val="auto"/>
          <w:sz w:val="28"/>
          <w:szCs w:val="28"/>
          <w:u w:val="single"/>
        </w:rPr>
        <w:t xml:space="preserve"> XXX </w:t>
      </w:r>
      <w:r>
        <w:rPr>
          <w:rFonts w:hint="eastAsia" w:ascii="仿宋" w:hAnsi="仿宋" w:eastAsia="仿宋" w:cs="仿宋"/>
          <w:color w:val="auto"/>
          <w:sz w:val="28"/>
          <w:szCs w:val="28"/>
        </w:rPr>
        <w:t>元)。每月服务费为：大写人民币</w:t>
      </w:r>
      <w:r>
        <w:rPr>
          <w:rFonts w:hint="eastAsia" w:ascii="仿宋" w:hAnsi="仿宋" w:eastAsia="仿宋" w:cs="仿宋"/>
          <w:color w:val="auto"/>
          <w:sz w:val="28"/>
          <w:szCs w:val="28"/>
          <w:u w:val="single"/>
        </w:rPr>
        <w:t xml:space="preserve"> XXX元整</w:t>
      </w:r>
      <w:r>
        <w:rPr>
          <w:rFonts w:hint="eastAsia" w:ascii="仿宋" w:hAnsi="仿宋" w:eastAsia="仿宋" w:cs="仿宋"/>
          <w:color w:val="auto"/>
          <w:sz w:val="28"/>
          <w:szCs w:val="28"/>
        </w:rPr>
        <w:t>(小写：</w:t>
      </w:r>
      <w:r>
        <w:rPr>
          <w:rFonts w:hint="eastAsia" w:ascii="仿宋" w:hAnsi="仿宋" w:eastAsia="仿宋" w:cs="仿宋"/>
          <w:color w:val="auto"/>
          <w:sz w:val="28"/>
          <w:szCs w:val="28"/>
          <w:u w:val="single"/>
        </w:rPr>
        <w:t xml:space="preserve"> XXX </w:t>
      </w:r>
      <w:r>
        <w:rPr>
          <w:rFonts w:hint="eastAsia" w:ascii="仿宋" w:hAnsi="仿宋" w:eastAsia="仿宋" w:cs="仿宋"/>
          <w:color w:val="auto"/>
          <w:sz w:val="28"/>
          <w:szCs w:val="28"/>
        </w:rPr>
        <w:t>元)。</w:t>
      </w:r>
      <w:r>
        <w:rPr>
          <w:rFonts w:hint="eastAsia" w:ascii="仿宋" w:hAnsi="仿宋" w:eastAsia="仿宋" w:cs="仿宋"/>
          <w:color w:val="auto"/>
          <w:sz w:val="28"/>
          <w:szCs w:val="28"/>
          <w:lang w:val="en-US" w:eastAsia="zh-CN"/>
        </w:rPr>
        <w:t>具体服务费清单详见下表：</w:t>
      </w:r>
    </w:p>
    <w:tbl>
      <w:tblPr>
        <w:tblStyle w:val="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75"/>
        <w:gridCol w:w="2806"/>
        <w:gridCol w:w="1343"/>
        <w:gridCol w:w="851"/>
        <w:gridCol w:w="2091"/>
        <w:gridCol w:w="2096"/>
      </w:tblGrid>
      <w:tr w14:paraId="3DE01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trPr>
        <w:tc>
          <w:tcPr>
            <w:tcW w:w="389" w:type="pct"/>
            <w:noWrap w:val="0"/>
            <w:vAlign w:val="center"/>
          </w:tcPr>
          <w:p w14:paraId="714D10B1">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序号</w:t>
            </w:r>
          </w:p>
        </w:tc>
        <w:tc>
          <w:tcPr>
            <w:tcW w:w="1408" w:type="pct"/>
            <w:noWrap w:val="0"/>
            <w:vAlign w:val="center"/>
          </w:tcPr>
          <w:p w14:paraId="7AC5D06D">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项目名称</w:t>
            </w:r>
          </w:p>
        </w:tc>
        <w:tc>
          <w:tcPr>
            <w:tcW w:w="674" w:type="pct"/>
            <w:noWrap w:val="0"/>
            <w:vAlign w:val="center"/>
          </w:tcPr>
          <w:p w14:paraId="3C8EB563">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服务期</w:t>
            </w:r>
          </w:p>
          <w:p w14:paraId="47F714AE">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限（月）</w:t>
            </w:r>
          </w:p>
        </w:tc>
        <w:tc>
          <w:tcPr>
            <w:tcW w:w="427" w:type="pct"/>
            <w:noWrap w:val="0"/>
            <w:vAlign w:val="center"/>
          </w:tcPr>
          <w:p w14:paraId="4118CC44">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数量</w:t>
            </w:r>
          </w:p>
        </w:tc>
        <w:tc>
          <w:tcPr>
            <w:tcW w:w="1049" w:type="pct"/>
            <w:noWrap w:val="0"/>
            <w:vAlign w:val="center"/>
          </w:tcPr>
          <w:p w14:paraId="47630A9D">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服务费单价（元）</w:t>
            </w:r>
          </w:p>
        </w:tc>
        <w:tc>
          <w:tcPr>
            <w:tcW w:w="1051" w:type="pct"/>
            <w:noWrap w:val="0"/>
            <w:vAlign w:val="center"/>
          </w:tcPr>
          <w:p w14:paraId="02CE8835">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服务费合计（元）</w:t>
            </w:r>
          </w:p>
        </w:tc>
      </w:tr>
      <w:tr w14:paraId="2A987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trPr>
        <w:tc>
          <w:tcPr>
            <w:tcW w:w="389" w:type="pct"/>
            <w:noWrap w:val="0"/>
            <w:vAlign w:val="center"/>
          </w:tcPr>
          <w:p w14:paraId="3DB9BC0E">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1408" w:type="pct"/>
            <w:noWrap w:val="0"/>
            <w:vAlign w:val="center"/>
          </w:tcPr>
          <w:p w14:paraId="1E1575C5">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桨板（租用）</w:t>
            </w:r>
          </w:p>
        </w:tc>
        <w:tc>
          <w:tcPr>
            <w:tcW w:w="674" w:type="pct"/>
            <w:noWrap w:val="0"/>
            <w:vAlign w:val="center"/>
          </w:tcPr>
          <w:p w14:paraId="39A26287">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w:t>
            </w:r>
          </w:p>
        </w:tc>
        <w:tc>
          <w:tcPr>
            <w:tcW w:w="427" w:type="pct"/>
            <w:noWrap w:val="0"/>
            <w:vAlign w:val="center"/>
          </w:tcPr>
          <w:p w14:paraId="4F146AF5">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25艘</w:t>
            </w:r>
          </w:p>
        </w:tc>
        <w:tc>
          <w:tcPr>
            <w:tcW w:w="1049" w:type="pct"/>
            <w:noWrap w:val="0"/>
            <w:vAlign w:val="center"/>
          </w:tcPr>
          <w:p w14:paraId="493E019A">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p>
        </w:tc>
        <w:tc>
          <w:tcPr>
            <w:tcW w:w="1051" w:type="pct"/>
            <w:noWrap w:val="0"/>
            <w:vAlign w:val="center"/>
          </w:tcPr>
          <w:p w14:paraId="7EBAE97A">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p>
        </w:tc>
      </w:tr>
      <w:tr w14:paraId="79E73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trPr>
        <w:tc>
          <w:tcPr>
            <w:tcW w:w="389" w:type="pct"/>
            <w:noWrap w:val="0"/>
            <w:vAlign w:val="center"/>
          </w:tcPr>
          <w:p w14:paraId="181ABFE5">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1408" w:type="pct"/>
            <w:noWrap w:val="0"/>
            <w:vAlign w:val="center"/>
          </w:tcPr>
          <w:p w14:paraId="2B696880">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皮划艇（租用）</w:t>
            </w:r>
          </w:p>
        </w:tc>
        <w:tc>
          <w:tcPr>
            <w:tcW w:w="674" w:type="pct"/>
            <w:noWrap w:val="0"/>
            <w:vAlign w:val="center"/>
          </w:tcPr>
          <w:p w14:paraId="6BB77924">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w:t>
            </w:r>
          </w:p>
        </w:tc>
        <w:tc>
          <w:tcPr>
            <w:tcW w:w="427" w:type="pct"/>
            <w:noWrap w:val="0"/>
            <w:vAlign w:val="center"/>
          </w:tcPr>
          <w:p w14:paraId="25B33A06">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7艘</w:t>
            </w:r>
          </w:p>
        </w:tc>
        <w:tc>
          <w:tcPr>
            <w:tcW w:w="1049" w:type="pct"/>
            <w:noWrap w:val="0"/>
            <w:vAlign w:val="center"/>
          </w:tcPr>
          <w:p w14:paraId="7A1C0DEC">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p>
        </w:tc>
        <w:tc>
          <w:tcPr>
            <w:tcW w:w="1051" w:type="pct"/>
            <w:noWrap w:val="0"/>
            <w:vAlign w:val="center"/>
          </w:tcPr>
          <w:p w14:paraId="48A2AE9D">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p>
        </w:tc>
      </w:tr>
      <w:tr w14:paraId="64270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trPr>
        <w:tc>
          <w:tcPr>
            <w:tcW w:w="389" w:type="pct"/>
            <w:noWrap w:val="0"/>
            <w:vAlign w:val="center"/>
          </w:tcPr>
          <w:p w14:paraId="79813A50">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w:t>
            </w:r>
          </w:p>
        </w:tc>
        <w:tc>
          <w:tcPr>
            <w:tcW w:w="1408" w:type="pct"/>
            <w:noWrap w:val="0"/>
            <w:vAlign w:val="center"/>
          </w:tcPr>
          <w:p w14:paraId="40B9C052">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人工费用（运营人员）</w:t>
            </w:r>
          </w:p>
        </w:tc>
        <w:tc>
          <w:tcPr>
            <w:tcW w:w="674" w:type="pct"/>
            <w:noWrap w:val="0"/>
            <w:vAlign w:val="center"/>
          </w:tcPr>
          <w:p w14:paraId="6A445967">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w:t>
            </w:r>
          </w:p>
        </w:tc>
        <w:tc>
          <w:tcPr>
            <w:tcW w:w="427" w:type="pct"/>
            <w:noWrap w:val="0"/>
            <w:vAlign w:val="center"/>
          </w:tcPr>
          <w:p w14:paraId="720CA165">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4人</w:t>
            </w:r>
          </w:p>
        </w:tc>
        <w:tc>
          <w:tcPr>
            <w:tcW w:w="1049" w:type="pct"/>
            <w:noWrap w:val="0"/>
            <w:vAlign w:val="center"/>
          </w:tcPr>
          <w:p w14:paraId="70E5FE09">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p>
        </w:tc>
        <w:tc>
          <w:tcPr>
            <w:tcW w:w="1051" w:type="pct"/>
            <w:noWrap w:val="0"/>
            <w:vAlign w:val="center"/>
          </w:tcPr>
          <w:p w14:paraId="56FEBB28">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p>
        </w:tc>
      </w:tr>
      <w:tr w14:paraId="3C9C6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trPr>
        <w:tc>
          <w:tcPr>
            <w:tcW w:w="389" w:type="pct"/>
            <w:noWrap w:val="0"/>
            <w:vAlign w:val="center"/>
          </w:tcPr>
          <w:p w14:paraId="75922689">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w:t>
            </w:r>
          </w:p>
        </w:tc>
        <w:tc>
          <w:tcPr>
            <w:tcW w:w="1408" w:type="pct"/>
            <w:noWrap w:val="0"/>
            <w:vAlign w:val="center"/>
          </w:tcPr>
          <w:p w14:paraId="562A528F">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人工费用（救生员）</w:t>
            </w:r>
          </w:p>
        </w:tc>
        <w:tc>
          <w:tcPr>
            <w:tcW w:w="674" w:type="pct"/>
            <w:noWrap w:val="0"/>
            <w:vAlign w:val="center"/>
          </w:tcPr>
          <w:p w14:paraId="58F562A5">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w:t>
            </w:r>
          </w:p>
        </w:tc>
        <w:tc>
          <w:tcPr>
            <w:tcW w:w="427" w:type="pct"/>
            <w:noWrap w:val="0"/>
            <w:vAlign w:val="center"/>
          </w:tcPr>
          <w:p w14:paraId="4A11BEE9">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2人</w:t>
            </w:r>
          </w:p>
        </w:tc>
        <w:tc>
          <w:tcPr>
            <w:tcW w:w="1049" w:type="pct"/>
            <w:noWrap w:val="0"/>
            <w:vAlign w:val="center"/>
          </w:tcPr>
          <w:p w14:paraId="01917174">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p>
        </w:tc>
        <w:tc>
          <w:tcPr>
            <w:tcW w:w="1051" w:type="pct"/>
            <w:noWrap w:val="0"/>
            <w:vAlign w:val="center"/>
          </w:tcPr>
          <w:p w14:paraId="1E36C989">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p>
        </w:tc>
      </w:tr>
      <w:tr w14:paraId="47837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trPr>
        <w:tc>
          <w:tcPr>
            <w:tcW w:w="389" w:type="pct"/>
            <w:noWrap w:val="0"/>
            <w:vAlign w:val="center"/>
          </w:tcPr>
          <w:p w14:paraId="6128DA9F">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w:t>
            </w:r>
          </w:p>
        </w:tc>
        <w:tc>
          <w:tcPr>
            <w:tcW w:w="1408" w:type="pct"/>
            <w:noWrap w:val="0"/>
            <w:vAlign w:val="center"/>
          </w:tcPr>
          <w:p w14:paraId="4C18C383">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人工费用（皮划艇教练员）</w:t>
            </w:r>
          </w:p>
        </w:tc>
        <w:tc>
          <w:tcPr>
            <w:tcW w:w="674" w:type="pct"/>
            <w:noWrap w:val="0"/>
            <w:vAlign w:val="center"/>
          </w:tcPr>
          <w:p w14:paraId="71E91F9E">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w:t>
            </w:r>
          </w:p>
        </w:tc>
        <w:tc>
          <w:tcPr>
            <w:tcW w:w="427" w:type="pct"/>
            <w:noWrap w:val="0"/>
            <w:vAlign w:val="center"/>
          </w:tcPr>
          <w:p w14:paraId="35BD8444">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2人</w:t>
            </w:r>
          </w:p>
        </w:tc>
        <w:tc>
          <w:tcPr>
            <w:tcW w:w="1049" w:type="pct"/>
            <w:noWrap w:val="0"/>
            <w:vAlign w:val="center"/>
          </w:tcPr>
          <w:p w14:paraId="7C4A570B">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p>
        </w:tc>
        <w:tc>
          <w:tcPr>
            <w:tcW w:w="1051" w:type="pct"/>
            <w:noWrap w:val="0"/>
            <w:vAlign w:val="center"/>
          </w:tcPr>
          <w:p w14:paraId="23DAA1A8">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p>
        </w:tc>
      </w:tr>
      <w:tr w14:paraId="309F0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trPr>
        <w:tc>
          <w:tcPr>
            <w:tcW w:w="2898" w:type="pct"/>
            <w:gridSpan w:val="4"/>
            <w:noWrap w:val="0"/>
            <w:vAlign w:val="center"/>
          </w:tcPr>
          <w:p w14:paraId="25961D00">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合计</w:t>
            </w:r>
          </w:p>
        </w:tc>
        <w:tc>
          <w:tcPr>
            <w:tcW w:w="1049" w:type="pct"/>
            <w:noWrap w:val="0"/>
            <w:vAlign w:val="center"/>
          </w:tcPr>
          <w:p w14:paraId="2855C38A">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c>
          <w:tcPr>
            <w:tcW w:w="1051" w:type="pct"/>
            <w:noWrap w:val="0"/>
            <w:vAlign w:val="center"/>
          </w:tcPr>
          <w:p w14:paraId="129FB71B">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仿宋" w:hAnsi="仿宋" w:eastAsia="仿宋" w:cs="仿宋"/>
                <w:sz w:val="28"/>
                <w:szCs w:val="28"/>
                <w:lang w:val="en-US" w:eastAsia="zh-CN"/>
              </w:rPr>
            </w:pPr>
          </w:p>
        </w:tc>
      </w:tr>
    </w:tbl>
    <w:p w14:paraId="72B03626">
      <w:pPr>
        <w:keepNext w:val="0"/>
        <w:keepLines/>
        <w:pageBreakBefore w:val="0"/>
        <w:widowControl/>
        <w:numPr>
          <w:ilvl w:val="0"/>
          <w:numId w:val="0"/>
        </w:numPr>
        <w:kinsoku/>
        <w:wordWrap w:val="0"/>
        <w:overflowPunct/>
        <w:topLinePunct w:val="0"/>
        <w:autoSpaceDE/>
        <w:autoSpaceDN/>
        <w:bidi w:val="0"/>
        <w:adjustRightInd/>
        <w:snapToGrid/>
        <w:spacing w:line="480" w:lineRule="exact"/>
        <w:ind w:left="0" w:right="0" w:firstLine="560" w:firstLineChars="200"/>
        <w:jc w:val="left"/>
        <w:textAlignment w:val="auto"/>
        <w:rPr>
          <w:rFonts w:hint="eastAsia" w:ascii="仿宋" w:hAnsi="仿宋" w:eastAsia="仿宋" w:cs="仿宋"/>
          <w:kern w:val="2"/>
          <w:sz w:val="28"/>
          <w:szCs w:val="28"/>
          <w:lang w:val="en-US" w:eastAsia="zh-CN" w:bidi="ar"/>
        </w:rPr>
      </w:pPr>
      <w:r>
        <w:rPr>
          <w:rFonts w:hint="eastAsia" w:ascii="仿宋" w:hAnsi="仿宋" w:eastAsia="仿宋" w:cs="仿宋"/>
          <w:kern w:val="2"/>
          <w:sz w:val="28"/>
          <w:szCs w:val="28"/>
          <w:lang w:val="en-US" w:eastAsia="zh-CN" w:bidi="ar"/>
        </w:rPr>
        <w:t>2.乙方报价需含税（税率为  %，乙方需开具对应税率的增值税专用发票），含税单价固定，不再进行调整，根据实际数量及服务质量进行结算。</w:t>
      </w:r>
    </w:p>
    <w:p w14:paraId="3B9C4CD8">
      <w:pPr>
        <w:keepLines/>
        <w:widowControl/>
        <w:numPr>
          <w:ilvl w:val="0"/>
          <w:numId w:val="0"/>
        </w:numPr>
        <w:wordWrap w:val="0"/>
        <w:spacing w:line="480" w:lineRule="exact"/>
        <w:ind w:firstLine="560" w:firstLineChars="200"/>
        <w:jc w:val="left"/>
        <w:rPr>
          <w:rFonts w:hint="eastAsia" w:ascii="仿宋" w:hAnsi="仿宋" w:eastAsia="仿宋" w:cs="仿宋"/>
          <w:sz w:val="28"/>
          <w:szCs w:val="28"/>
          <w:lang w:val="en-US" w:eastAsia="zh-CN"/>
        </w:rPr>
      </w:pPr>
      <w:r>
        <w:rPr>
          <w:rFonts w:hint="eastAsia" w:ascii="仿宋" w:hAnsi="仿宋" w:eastAsia="仿宋" w:cs="仿宋"/>
          <w:kern w:val="2"/>
          <w:sz w:val="28"/>
          <w:szCs w:val="28"/>
          <w:lang w:val="en-US" w:eastAsia="zh-CN" w:bidi="ar"/>
        </w:rPr>
        <w:t>3.乙方报价应包含人工费(含员工的薪资、社保费、服装费、年终奖金、法定假日补贴、加班费、商业保险、培训费等)、设备采购费、维护费、保险、物耗、工具配备、劳保费用，管理费，设备折旧费，机械车辆的维修费，机械作业费、不可预见费(员工意外事故赔偿)、税费等一切费用（税率  %），未说明的视为包含在合同价内，各乙方应理性评估可能存在的风险，甲方不另行支付其他任何费用。</w:t>
      </w:r>
    </w:p>
    <w:p w14:paraId="67C766AE">
      <w:pPr>
        <w:keepNext w:val="0"/>
        <w:pageBreakBefore w:val="0"/>
        <w:numPr>
          <w:ilvl w:val="0"/>
          <w:numId w:val="0"/>
        </w:numPr>
        <w:kinsoku/>
        <w:overflowPunct/>
        <w:topLinePunct w:val="0"/>
        <w:autoSpaceDE/>
        <w:autoSpaceDN/>
        <w:bidi w:val="0"/>
        <w:spacing w:line="480" w:lineRule="exact"/>
        <w:ind w:left="0" w:leftChars="0" w:right="0" w:rightChars="0" w:firstLine="640" w:firstLineChars="200"/>
        <w:jc w:val="left"/>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三、支付方式</w:t>
      </w:r>
    </w:p>
    <w:p w14:paraId="5679E7AC">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1.</w:t>
      </w:r>
      <w:r>
        <w:rPr>
          <w:rFonts w:hint="eastAsia" w:ascii="仿宋" w:hAnsi="仿宋" w:eastAsia="仿宋" w:cs="仿宋"/>
          <w:color w:val="auto"/>
          <w:sz w:val="28"/>
          <w:szCs w:val="28"/>
          <w:highlight w:val="none"/>
          <w:lang w:val="en-US" w:eastAsia="zh-Hans"/>
        </w:rPr>
        <w:t>服务费每</w:t>
      </w:r>
      <w:r>
        <w:rPr>
          <w:rFonts w:hint="eastAsia" w:ascii="仿宋" w:hAnsi="仿宋" w:eastAsia="仿宋" w:cs="仿宋"/>
          <w:color w:val="auto"/>
          <w:sz w:val="28"/>
          <w:szCs w:val="28"/>
          <w:highlight w:val="none"/>
          <w:lang w:val="en-US" w:eastAsia="zh-CN"/>
        </w:rPr>
        <w:t>月支付一次，乙方完成当月服务工作，根据成交金额按照经双方共同在合同中核定的当月服务费并依合同约定的服务考核要求的考核结果等扣除应扣款项，由甲方与乙方就上述款项核对无误后，15个工作日</w:t>
      </w:r>
      <w:r>
        <w:rPr>
          <w:rFonts w:hint="eastAsia" w:ascii="仿宋" w:hAnsi="仿宋" w:eastAsia="仿宋" w:cs="仿宋"/>
          <w:color w:val="auto"/>
          <w:sz w:val="28"/>
          <w:szCs w:val="28"/>
          <w:highlight w:val="none"/>
          <w:shd w:val="clear" w:color="auto" w:fill="FFFFFF"/>
        </w:rPr>
        <w:t>（遇法定公休节假日顺延）</w:t>
      </w:r>
      <w:r>
        <w:rPr>
          <w:rFonts w:hint="eastAsia" w:ascii="仿宋" w:hAnsi="仿宋" w:eastAsia="仿宋" w:cs="仿宋"/>
          <w:color w:val="auto"/>
          <w:sz w:val="28"/>
          <w:szCs w:val="28"/>
          <w:highlight w:val="none"/>
          <w:lang w:val="en-US" w:eastAsia="zh-CN"/>
        </w:rPr>
        <w:t>内以转账方式支付前一个月经考核验收核算后的服务费。</w:t>
      </w:r>
    </w:p>
    <w:p w14:paraId="7BE94669">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2.乙方根据最终核算费用按国家有关财税规定和甲方的要求开具合规的增值税专用发票给甲方，否则甲方有权拒绝支付该笔款项。甲方收到乙方应提交的付款材料后，在十个工作日(遇法定公休节假日顺延)内以转账方式按月结算支付上一个月的服务费(扣除应扣款项后的剩余费用)。</w:t>
      </w:r>
    </w:p>
    <w:p w14:paraId="69AF24D8">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合同履行期间，遇国家增值税率下调，则乙方应按原适用税率开具相应发票，若未能开具原适用税率相应发票的，甲方有权扣回相应税点的差价。</w:t>
      </w:r>
    </w:p>
    <w:p w14:paraId="4C16F9EB">
      <w:pPr>
        <w:pStyle w:val="3"/>
        <w:keepNext w:val="0"/>
        <w:pageBreakBefore w:val="0"/>
        <w:kinsoku/>
        <w:overflowPunct/>
        <w:topLinePunct w:val="0"/>
        <w:autoSpaceDE/>
        <w:autoSpaceDN/>
        <w:bidi w:val="0"/>
        <w:spacing w:line="480" w:lineRule="exact"/>
        <w:ind w:left="0" w:right="0"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u w:val="none"/>
          <w:lang w:val="en-US" w:eastAsia="zh-CN"/>
        </w:rPr>
        <w:t>3.</w:t>
      </w:r>
      <w:r>
        <w:rPr>
          <w:rFonts w:hint="eastAsia" w:ascii="仿宋" w:hAnsi="仿宋" w:eastAsia="仿宋" w:cs="仿宋"/>
          <w:color w:val="auto"/>
          <w:sz w:val="28"/>
          <w:szCs w:val="28"/>
          <w:highlight w:val="none"/>
        </w:rPr>
        <w:t>甲方发票信息：</w:t>
      </w:r>
    </w:p>
    <w:p w14:paraId="2BC1C210">
      <w:pPr>
        <w:keepNext w:val="0"/>
        <w:pageBreakBefore w:val="0"/>
        <w:tabs>
          <w:tab w:val="left" w:pos="312"/>
        </w:tabs>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乙方</w:t>
      </w:r>
      <w:r>
        <w:rPr>
          <w:rFonts w:hint="eastAsia" w:ascii="仿宋" w:hAnsi="仿宋" w:eastAsia="仿宋" w:cs="仿宋"/>
          <w:color w:val="auto"/>
          <w:sz w:val="28"/>
          <w:szCs w:val="28"/>
          <w:highlight w:val="none"/>
        </w:rPr>
        <w:t>应向</w:t>
      </w:r>
      <w:r>
        <w:rPr>
          <w:rFonts w:hint="eastAsia" w:ascii="仿宋" w:hAnsi="仿宋" w:eastAsia="仿宋" w:cs="仿宋"/>
          <w:color w:val="auto"/>
          <w:sz w:val="28"/>
          <w:szCs w:val="28"/>
          <w:highlight w:val="none"/>
          <w:lang w:val="en-US" w:eastAsia="zh-CN"/>
        </w:rPr>
        <w:t>甲</w:t>
      </w:r>
      <w:r>
        <w:rPr>
          <w:rFonts w:hint="eastAsia" w:ascii="仿宋" w:hAnsi="仿宋" w:eastAsia="仿宋" w:cs="仿宋"/>
          <w:color w:val="auto"/>
          <w:sz w:val="28"/>
          <w:szCs w:val="28"/>
          <w:highlight w:val="none"/>
        </w:rPr>
        <w:t>方提供正规等额增值税</w:t>
      </w:r>
      <w:r>
        <w:rPr>
          <w:rFonts w:hint="eastAsia" w:ascii="仿宋" w:hAnsi="仿宋" w:eastAsia="仿宋" w:cs="仿宋"/>
          <w:color w:val="auto"/>
          <w:sz w:val="28"/>
          <w:szCs w:val="28"/>
          <w:highlight w:val="none"/>
          <w:lang w:val="en-US" w:eastAsia="zh-CN"/>
        </w:rPr>
        <w:t>专用</w:t>
      </w:r>
      <w:r>
        <w:rPr>
          <w:rFonts w:hint="eastAsia" w:ascii="仿宋" w:hAnsi="仿宋" w:eastAsia="仿宋" w:cs="仿宋"/>
          <w:color w:val="auto"/>
          <w:sz w:val="28"/>
          <w:szCs w:val="28"/>
          <w:highlight w:val="none"/>
        </w:rPr>
        <w:t>发票。甲方发票信息如下：</w:t>
      </w:r>
    </w:p>
    <w:p w14:paraId="7CAF6C4E">
      <w:pPr>
        <w:keepNext w:val="0"/>
        <w:pageBreakBefore w:val="0"/>
        <w:tabs>
          <w:tab w:val="left" w:pos="312"/>
        </w:tabs>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名称：福州市水务文化旅游有限公司</w:t>
      </w:r>
    </w:p>
    <w:p w14:paraId="14BE4EB6">
      <w:pPr>
        <w:keepNext w:val="0"/>
        <w:pageBreakBefore w:val="0"/>
        <w:tabs>
          <w:tab w:val="left" w:pos="312"/>
        </w:tabs>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纳税人识别号：91350100MA8U7BL43G</w:t>
      </w:r>
    </w:p>
    <w:p w14:paraId="1A9998EF">
      <w:pPr>
        <w:keepNext w:val="0"/>
        <w:pageBreakBefore w:val="0"/>
        <w:tabs>
          <w:tab w:val="left" w:pos="312"/>
        </w:tabs>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地址、电话：福建省福州市台江区国货西路318号天榕花园C座一单元101室，0591-83723830</w:t>
      </w:r>
    </w:p>
    <w:p w14:paraId="39FACF3E">
      <w:pPr>
        <w:keepNext w:val="0"/>
        <w:pageBreakBefore w:val="0"/>
        <w:tabs>
          <w:tab w:val="left" w:pos="312"/>
        </w:tabs>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开户行及账号：中国农业银行股份有限公司福州东大支</w:t>
      </w:r>
      <w:r>
        <w:rPr>
          <w:rFonts w:hint="eastAsia" w:ascii="仿宋" w:hAnsi="仿宋" w:eastAsia="仿宋" w:cs="仿宋"/>
          <w:color w:val="auto"/>
          <w:sz w:val="28"/>
          <w:szCs w:val="28"/>
          <w:highlight w:val="none"/>
          <w:lang w:val="en-US" w:eastAsia="zh-CN"/>
        </w:rPr>
        <w:t>行</w:t>
      </w:r>
      <w:r>
        <w:rPr>
          <w:rFonts w:hint="eastAsia" w:ascii="仿宋" w:hAnsi="仿宋" w:eastAsia="仿宋" w:cs="仿宋"/>
          <w:color w:val="auto"/>
          <w:sz w:val="28"/>
          <w:szCs w:val="28"/>
          <w:highlight w:val="none"/>
        </w:rPr>
        <w:t>13135101040031308</w:t>
      </w:r>
    </w:p>
    <w:p w14:paraId="7A96E191">
      <w:pPr>
        <w:keepNext w:val="0"/>
        <w:pageBreakBefore w:val="0"/>
        <w:tabs>
          <w:tab w:val="left" w:pos="312"/>
        </w:tabs>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4.乙方指定的收款账户如下：  </w:t>
      </w:r>
    </w:p>
    <w:p w14:paraId="759211AF">
      <w:pPr>
        <w:keepNext w:val="0"/>
        <w:pageBreakBefore w:val="0"/>
        <w:tabs>
          <w:tab w:val="left" w:pos="312"/>
        </w:tabs>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户    名：</w:t>
      </w:r>
    </w:p>
    <w:p w14:paraId="06B26E0B">
      <w:pPr>
        <w:keepNext w:val="0"/>
        <w:pageBreakBefore w:val="0"/>
        <w:tabs>
          <w:tab w:val="left" w:pos="312"/>
        </w:tabs>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开 户 行：</w:t>
      </w:r>
    </w:p>
    <w:p w14:paraId="503FDF93">
      <w:pPr>
        <w:tabs>
          <w:tab w:val="left" w:pos="312"/>
        </w:tabs>
        <w:spacing w:line="480" w:lineRule="exact"/>
        <w:ind w:firstLine="560" w:firstLineChars="200"/>
        <w:jc w:val="left"/>
        <w:rPr>
          <w:rFonts w:hint="eastAsia" w:ascii="仿宋" w:hAnsi="仿宋" w:eastAsia="仿宋" w:cs="仿宋"/>
          <w:sz w:val="28"/>
          <w:szCs w:val="28"/>
          <w:lang w:val="en-US" w:eastAsia="zh-CN"/>
        </w:rPr>
      </w:pPr>
      <w:r>
        <w:rPr>
          <w:rFonts w:hint="eastAsia" w:ascii="仿宋" w:hAnsi="仿宋" w:eastAsia="仿宋" w:cs="仿宋"/>
          <w:color w:val="auto"/>
          <w:sz w:val="28"/>
          <w:szCs w:val="28"/>
          <w:highlight w:val="none"/>
        </w:rPr>
        <w:t>银行账号：</w:t>
      </w:r>
    </w:p>
    <w:p w14:paraId="54DBB8D5">
      <w:pPr>
        <w:keepNext w:val="0"/>
        <w:pageBreakBefore w:val="0"/>
        <w:numPr>
          <w:ilvl w:val="0"/>
          <w:numId w:val="0"/>
        </w:numPr>
        <w:kinsoku/>
        <w:overflowPunct/>
        <w:topLinePunct w:val="0"/>
        <w:autoSpaceDE/>
        <w:autoSpaceDN/>
        <w:bidi w:val="0"/>
        <w:spacing w:line="480" w:lineRule="exact"/>
        <w:ind w:left="0" w:leftChars="0" w:right="0" w:rightChars="0" w:firstLine="640" w:firstLineChars="200"/>
        <w:jc w:val="left"/>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四、服务质量考核标准及要求</w:t>
      </w:r>
    </w:p>
    <w:p w14:paraId="6722FCFE">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2"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b/>
          <w:bCs/>
          <w:color w:val="auto"/>
          <w:kern w:val="0"/>
          <w:sz w:val="28"/>
          <w:szCs w:val="28"/>
          <w:highlight w:val="none"/>
          <w:lang w:val="en-US" w:eastAsia="zh-Hans" w:bidi="ar"/>
        </w:rPr>
        <w:t>采用月考核方式</w:t>
      </w:r>
      <w:r>
        <w:rPr>
          <w:rFonts w:hint="eastAsia" w:ascii="仿宋" w:hAnsi="仿宋" w:eastAsia="仿宋" w:cs="仿宋"/>
          <w:b/>
          <w:bCs/>
          <w:color w:val="auto"/>
          <w:kern w:val="0"/>
          <w:sz w:val="28"/>
          <w:szCs w:val="28"/>
          <w:highlight w:val="none"/>
          <w:lang w:val="en-US" w:eastAsia="zh-CN" w:bidi="ar"/>
        </w:rPr>
        <w:t>：</w:t>
      </w:r>
      <w:r>
        <w:rPr>
          <w:rFonts w:hint="eastAsia" w:ascii="仿宋" w:hAnsi="仿宋" w:eastAsia="仿宋" w:cs="仿宋"/>
          <w:color w:val="auto"/>
          <w:kern w:val="0"/>
          <w:sz w:val="28"/>
          <w:szCs w:val="28"/>
          <w:highlight w:val="none"/>
          <w:lang w:val="en-US" w:eastAsia="zh-CN" w:bidi="ar"/>
        </w:rPr>
        <w:t>自服务开始后每个合同月为1次，</w:t>
      </w:r>
      <w:r>
        <w:rPr>
          <w:rFonts w:hint="eastAsia" w:ascii="仿宋" w:hAnsi="仿宋" w:eastAsia="仿宋" w:cs="仿宋"/>
          <w:b w:val="0"/>
          <w:bCs/>
          <w:color w:val="auto"/>
          <w:sz w:val="28"/>
          <w:szCs w:val="28"/>
          <w:highlight w:val="none"/>
          <w:lang w:val="en-US" w:eastAsia="zh-CN"/>
        </w:rPr>
        <w:t>按照下列得分评定服务质量等级，给予相应支付：</w:t>
      </w:r>
    </w:p>
    <w:p w14:paraId="5AA69F85">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1.95分（含）以上：服务等级为好，全额结算当月服务费；</w:t>
      </w:r>
    </w:p>
    <w:p w14:paraId="11B27F07">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2.90分（含）-94分：服务等级为良好，</w:t>
      </w:r>
      <w:r>
        <w:rPr>
          <w:rFonts w:hint="eastAsia" w:ascii="宋体" w:hAnsi="宋体" w:eastAsia="宋体" w:cs="宋体"/>
          <w:kern w:val="0"/>
          <w:sz w:val="24"/>
          <w:szCs w:val="24"/>
          <w:lang w:val="en-US" w:eastAsia="zh-CN" w:bidi="ar"/>
        </w:rPr>
        <w:t>扣减</w:t>
      </w:r>
      <w:r>
        <w:rPr>
          <w:rFonts w:hint="eastAsia" w:ascii="仿宋" w:hAnsi="仿宋" w:eastAsia="仿宋" w:cs="仿宋"/>
          <w:kern w:val="0"/>
          <w:sz w:val="28"/>
          <w:szCs w:val="28"/>
          <w:lang w:val="en-US" w:eastAsia="zh-CN" w:bidi="ar"/>
        </w:rPr>
        <w:t>违约金1000元；</w:t>
      </w:r>
    </w:p>
    <w:p w14:paraId="516237E6">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3.85分（含）-89分：服务等级为一般，</w:t>
      </w:r>
      <w:r>
        <w:rPr>
          <w:rFonts w:hint="eastAsia" w:ascii="宋体" w:hAnsi="宋体" w:eastAsia="宋体" w:cs="宋体"/>
          <w:kern w:val="0"/>
          <w:sz w:val="24"/>
          <w:szCs w:val="24"/>
          <w:lang w:val="en-US" w:eastAsia="zh-CN" w:bidi="ar"/>
        </w:rPr>
        <w:t>扣减</w:t>
      </w:r>
      <w:r>
        <w:rPr>
          <w:rFonts w:hint="eastAsia" w:ascii="仿宋" w:hAnsi="仿宋" w:eastAsia="仿宋" w:cs="仿宋"/>
          <w:kern w:val="0"/>
          <w:sz w:val="28"/>
          <w:szCs w:val="28"/>
          <w:lang w:val="en-US" w:eastAsia="zh-CN" w:bidi="ar"/>
        </w:rPr>
        <w:t>违约金3000元；</w:t>
      </w:r>
    </w:p>
    <w:p w14:paraId="5B4913D3">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4.80分（含）-84分：服务等级为合格，</w:t>
      </w:r>
      <w:r>
        <w:rPr>
          <w:rFonts w:hint="eastAsia" w:ascii="宋体" w:hAnsi="宋体" w:eastAsia="宋体" w:cs="宋体"/>
          <w:kern w:val="0"/>
          <w:sz w:val="24"/>
          <w:szCs w:val="24"/>
          <w:lang w:val="en-US" w:eastAsia="zh-CN" w:bidi="ar"/>
        </w:rPr>
        <w:t>扣减</w:t>
      </w:r>
      <w:r>
        <w:rPr>
          <w:rFonts w:hint="eastAsia" w:ascii="仿宋" w:hAnsi="仿宋" w:eastAsia="仿宋" w:cs="仿宋"/>
          <w:kern w:val="0"/>
          <w:sz w:val="28"/>
          <w:szCs w:val="28"/>
          <w:lang w:val="en-US" w:eastAsia="zh-CN" w:bidi="ar"/>
        </w:rPr>
        <w:t>违约金5000元；</w:t>
      </w:r>
    </w:p>
    <w:p w14:paraId="475A0723">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5.70分（含）-79分：服务等级为基本合格，</w:t>
      </w:r>
      <w:r>
        <w:rPr>
          <w:rFonts w:hint="eastAsia" w:ascii="宋体" w:hAnsi="宋体" w:eastAsia="宋体" w:cs="宋体"/>
          <w:kern w:val="0"/>
          <w:sz w:val="24"/>
          <w:szCs w:val="24"/>
          <w:lang w:val="en-US" w:eastAsia="zh-CN" w:bidi="ar"/>
        </w:rPr>
        <w:t>扣减</w:t>
      </w:r>
      <w:r>
        <w:rPr>
          <w:rFonts w:hint="eastAsia" w:ascii="仿宋" w:hAnsi="仿宋" w:eastAsia="仿宋" w:cs="仿宋"/>
          <w:kern w:val="0"/>
          <w:sz w:val="28"/>
          <w:szCs w:val="28"/>
          <w:lang w:val="en-US" w:eastAsia="zh-CN" w:bidi="ar"/>
        </w:rPr>
        <w:t>违约金10000元；</w:t>
      </w:r>
    </w:p>
    <w:p w14:paraId="4C829C05">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6.70分以下：服务等级为不合格，按基本合格标准扣罚违约金，甲方出具书面整改通知，责令3日内整改，停发当月服务费；次月考核需达到良好及以上方可补发费用；连续两月不合格，甲方有权单方解除合同，</w:t>
      </w:r>
      <w:r>
        <w:rPr>
          <w:rFonts w:hint="eastAsia" w:ascii="仿宋" w:hAnsi="仿宋" w:eastAsia="仿宋" w:cs="仿宋"/>
          <w:b w:val="0"/>
          <w:bCs/>
          <w:color w:val="auto"/>
          <w:sz w:val="28"/>
          <w:szCs w:val="28"/>
          <w:highlight w:val="none"/>
          <w:lang w:val="en-US" w:eastAsia="zh-CN"/>
        </w:rPr>
        <w:t>并不承担任何费用</w:t>
      </w:r>
      <w:r>
        <w:rPr>
          <w:rFonts w:hint="eastAsia" w:ascii="仿宋" w:hAnsi="仿宋" w:eastAsia="仿宋" w:cs="仿宋"/>
          <w:kern w:val="0"/>
          <w:sz w:val="28"/>
          <w:szCs w:val="28"/>
          <w:lang w:val="en-US" w:eastAsia="zh-CN" w:bidi="ar"/>
        </w:rPr>
        <w:t>。</w:t>
      </w:r>
    </w:p>
    <w:p w14:paraId="035E3C11">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7.本项目月度服务质量考核总分100分，具体考核细则如下：</w:t>
      </w:r>
    </w:p>
    <w:p w14:paraId="1B052B02">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（1）投诉情况考核（20分）：乙方运营期间，因同一类型事件被反复投诉超2次的，按2分/次扣分，本项满分20分，扣完为止。</w:t>
      </w:r>
    </w:p>
    <w:p w14:paraId="79CF80F9">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（2）现场管理情况（30分）：核查发现乙方人员未到岗、安全设施配备不全、现场卫生脏乱、员工服务态度恶劣、安全巡查台账登记不到位等违规情况，按3分/次扣分，本项满分30分，扣完为止。</w:t>
      </w:r>
    </w:p>
    <w:p w14:paraId="2AFBE604">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（3）安全演练情况（20分）：乙方每季度须各开展1次人员落水演练、应急救援演练、消防演练、船舶故障演练，未按要求开展的按5分/次扣分，本项满分20分，扣完为止。</w:t>
      </w:r>
    </w:p>
    <w:p w14:paraId="7CA4A93F">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（4）问题整改情况（20分）：乙方收到甲方整改通知单后，未按要求、按时限整改到位的，按5分/次扣分，本项满分20分，扣完为止。</w:t>
      </w:r>
    </w:p>
    <w:p w14:paraId="6E5BD8EA">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（5）诚信经营情况（10分）：乙方运营期间存在私自收款、不按规定收费标准收款等违规行为的，按5分/次扣分，本项满分10分，扣完为止。</w:t>
      </w:r>
    </w:p>
    <w:p w14:paraId="5E80866C">
      <w:pPr>
        <w:keepNext w:val="0"/>
        <w:pageBreakBefore w:val="0"/>
        <w:numPr>
          <w:ilvl w:val="0"/>
          <w:numId w:val="0"/>
        </w:numPr>
        <w:kinsoku/>
        <w:overflowPunct/>
        <w:topLinePunct w:val="0"/>
        <w:autoSpaceDE/>
        <w:autoSpaceDN/>
        <w:bidi w:val="0"/>
        <w:spacing w:line="480" w:lineRule="exact"/>
        <w:ind w:left="0" w:leftChars="0" w:right="0" w:rightChars="0" w:firstLine="640" w:firstLineChars="200"/>
        <w:jc w:val="left"/>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五、履约保证金</w:t>
      </w:r>
    </w:p>
    <w:p w14:paraId="6C92DFF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overflowPunct/>
        <w:topLinePunct w:val="0"/>
        <w:autoSpaceDE/>
        <w:autoSpaceDN/>
        <w:bidi w:val="0"/>
        <w:spacing w:beforeAutospacing="0" w:afterAutospacing="0" w:line="480" w:lineRule="exact"/>
        <w:ind w:left="0" w:right="0"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乙方以</w:t>
      </w:r>
      <w:r>
        <w:rPr>
          <w:rFonts w:hint="eastAsia" w:ascii="仿宋" w:hAnsi="仿宋" w:eastAsia="仿宋" w:cs="仿宋"/>
          <w:color w:val="auto"/>
          <w:kern w:val="2"/>
          <w:sz w:val="28"/>
          <w:szCs w:val="28"/>
          <w:highlight w:val="none"/>
          <w:u w:val="single"/>
          <w:lang w:val="en-US" w:eastAsia="zh-CN" w:bidi="ar-SA"/>
        </w:rPr>
        <w:t xml:space="preserve">  XXX  </w:t>
      </w:r>
      <w:r>
        <w:rPr>
          <w:rFonts w:hint="eastAsia" w:ascii="仿宋" w:hAnsi="仿宋" w:eastAsia="仿宋" w:cs="仿宋"/>
          <w:color w:val="auto"/>
          <w:kern w:val="2"/>
          <w:sz w:val="28"/>
          <w:szCs w:val="28"/>
          <w:highlight w:val="none"/>
          <w:lang w:val="en-US" w:eastAsia="zh-CN" w:bidi="ar-SA"/>
        </w:rPr>
        <w:t>形式一次性提供合同总金额10%的履约担保，担保期限至本项目全部服务完成且验收合格后30日历日止，以转账形式提交的履约担保在履约担保期限满后10个工作日内无息返还。</w:t>
      </w:r>
    </w:p>
    <w:p w14:paraId="174ACBC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overflowPunct/>
        <w:topLinePunct w:val="0"/>
        <w:autoSpaceDE/>
        <w:autoSpaceDN/>
        <w:bidi w:val="0"/>
        <w:spacing w:beforeAutospacing="0" w:afterAutospacing="0" w:line="480" w:lineRule="exact"/>
        <w:ind w:left="0" w:right="0"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若发生下列情况之一，甲方将提出追索和索赔：</w:t>
      </w:r>
    </w:p>
    <w:p w14:paraId="3066667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overflowPunct/>
        <w:topLinePunct w:val="0"/>
        <w:autoSpaceDE/>
        <w:autoSpaceDN/>
        <w:bidi w:val="0"/>
        <w:spacing w:beforeAutospacing="0" w:afterAutospacing="0" w:line="480" w:lineRule="exact"/>
        <w:ind w:left="0" w:right="0"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a.乙方不按招标文件规定履行合同；</w:t>
      </w:r>
    </w:p>
    <w:p w14:paraId="45B6CF7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overflowPunct/>
        <w:topLinePunct w:val="0"/>
        <w:autoSpaceDE/>
        <w:autoSpaceDN/>
        <w:bidi w:val="0"/>
        <w:spacing w:beforeAutospacing="0" w:afterAutospacing="0" w:line="480" w:lineRule="exact"/>
        <w:ind w:left="0" w:right="0"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b.签定合同后，乙方不按合同规定的条件供应货物和提供服务。</w:t>
      </w:r>
    </w:p>
    <w:p w14:paraId="105BC2E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overflowPunct/>
        <w:topLinePunct w:val="0"/>
        <w:autoSpaceDE/>
        <w:autoSpaceDN/>
        <w:bidi w:val="0"/>
        <w:spacing w:beforeAutospacing="0" w:afterAutospacing="0" w:line="480" w:lineRule="exact"/>
        <w:ind w:left="0" w:right="0" w:firstLine="560" w:firstLineChars="20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c.如果乙方未能按合同规定履行其义务，甲方有权从履约担保中取得补偿。</w:t>
      </w:r>
    </w:p>
    <w:p w14:paraId="7F099323">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80" w:lineRule="exact"/>
        <w:ind w:left="0" w:right="0" w:firstLine="560" w:firstLineChars="200"/>
        <w:jc w:val="left"/>
        <w:textAlignment w:val="auto"/>
        <w:rPr>
          <w:rFonts w:hint="eastAsia" w:ascii="仿宋" w:hAnsi="仿宋" w:eastAsia="仿宋" w:cs="仿宋"/>
          <w:color w:val="auto"/>
          <w:kern w:val="2"/>
          <w:sz w:val="28"/>
          <w:szCs w:val="28"/>
          <w:highlight w:val="none"/>
          <w:u w:val="none"/>
          <w:lang w:val="en-US" w:eastAsia="zh-CN"/>
        </w:rPr>
      </w:pPr>
      <w:r>
        <w:rPr>
          <w:rFonts w:hint="eastAsia" w:ascii="仿宋" w:hAnsi="仿宋" w:eastAsia="仿宋" w:cs="仿宋"/>
          <w:color w:val="auto"/>
          <w:kern w:val="2"/>
          <w:sz w:val="28"/>
          <w:szCs w:val="28"/>
          <w:highlight w:val="none"/>
          <w:lang w:val="en-US" w:eastAsia="zh-CN" w:bidi="ar-SA"/>
        </w:rPr>
        <w:t>d.如在履约担保期限内，乙方提供的履约保函到期的，乙方应提前一个月办理续保手续，否则，乙方应以现金方式缴纳履约保证金，甲方有权从应付未付款项中直接扣除同等金额的款项作为履约保证金。</w:t>
      </w:r>
    </w:p>
    <w:p w14:paraId="0FAF0B2C">
      <w:pPr>
        <w:keepNext w:val="0"/>
        <w:pageBreakBefore w:val="0"/>
        <w:numPr>
          <w:ilvl w:val="0"/>
          <w:numId w:val="0"/>
        </w:numPr>
        <w:kinsoku/>
        <w:overflowPunct/>
        <w:topLinePunct w:val="0"/>
        <w:autoSpaceDE/>
        <w:autoSpaceDN/>
        <w:bidi w:val="0"/>
        <w:spacing w:line="480" w:lineRule="exact"/>
        <w:ind w:left="0" w:leftChars="0" w:right="0" w:rightChars="0" w:firstLine="640" w:firstLineChars="200"/>
        <w:jc w:val="left"/>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六、甲乙双方权利义务</w:t>
      </w:r>
    </w:p>
    <w:p w14:paraId="23589479">
      <w:pPr>
        <w:keepNext w:val="0"/>
        <w:pageBreakBefore w:val="0"/>
        <w:widowControl/>
        <w:numPr>
          <w:ilvl w:val="0"/>
          <w:numId w:val="0"/>
        </w:numPr>
        <w:pBdr>
          <w:top w:val="none" w:color="auto" w:sz="0" w:space="0"/>
          <w:left w:val="none" w:color="auto" w:sz="0" w:space="0"/>
          <w:bottom w:val="none" w:color="auto" w:sz="0" w:space="0"/>
          <w:right w:val="none" w:color="auto" w:sz="0" w:space="0"/>
        </w:pBdr>
        <w:kinsoku/>
        <w:overflowPunct/>
        <w:topLinePunct w:val="0"/>
        <w:autoSpaceDE/>
        <w:autoSpaceDN/>
        <w:bidi w:val="0"/>
        <w:spacing w:line="480" w:lineRule="exact"/>
        <w:ind w:left="0" w:right="0" w:firstLine="562" w:firstLineChars="200"/>
        <w:jc w:val="left"/>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（一）甲方权利与义务</w:t>
      </w:r>
    </w:p>
    <w:p w14:paraId="0CB4B111">
      <w:pPr>
        <w:keepNext w:val="0"/>
        <w:pageBreakBefore w:val="0"/>
        <w:widowControl/>
        <w:numPr>
          <w:ilvl w:val="0"/>
          <w:numId w:val="0"/>
        </w:numPr>
        <w:pBdr>
          <w:top w:val="none" w:color="auto" w:sz="0" w:space="0"/>
          <w:left w:val="none" w:color="auto" w:sz="0" w:space="0"/>
          <w:bottom w:val="none" w:color="auto" w:sz="0" w:space="0"/>
          <w:right w:val="none" w:color="auto" w:sz="0" w:space="0"/>
        </w:pBdr>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1.甲方享有对乙方</w:t>
      </w:r>
      <w:r>
        <w:rPr>
          <w:rFonts w:hint="eastAsia" w:ascii="仿宋" w:hAnsi="仿宋" w:eastAsia="仿宋" w:cs="仿宋"/>
          <w:color w:val="auto"/>
          <w:sz w:val="28"/>
          <w:szCs w:val="28"/>
          <w:highlight w:val="none"/>
          <w:lang w:val="en-US" w:eastAsia="zh-CN"/>
        </w:rPr>
        <w:t>运营</w:t>
      </w:r>
      <w:r>
        <w:rPr>
          <w:rFonts w:hint="eastAsia" w:ascii="仿宋" w:hAnsi="仿宋" w:eastAsia="仿宋" w:cs="仿宋"/>
          <w:color w:val="auto"/>
          <w:sz w:val="28"/>
          <w:szCs w:val="28"/>
          <w:highlight w:val="none"/>
        </w:rPr>
        <w:t>过程中的监督、管理等权利。</w:t>
      </w:r>
    </w:p>
    <w:p w14:paraId="1D249F23">
      <w:pPr>
        <w:keepNext w:val="0"/>
        <w:pageBreakBefore w:val="0"/>
        <w:widowControl/>
        <w:numPr>
          <w:ilvl w:val="0"/>
          <w:numId w:val="0"/>
        </w:numPr>
        <w:pBdr>
          <w:top w:val="none" w:color="auto" w:sz="0" w:space="0"/>
          <w:left w:val="none" w:color="auto" w:sz="0" w:space="0"/>
          <w:bottom w:val="none" w:color="auto" w:sz="0" w:space="0"/>
          <w:right w:val="none" w:color="auto" w:sz="0" w:space="0"/>
        </w:pBdr>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甲方有权对本项目现场进行安全生产工作统一协调、管理，对乙方在经营场所内实施的行为的安全性给予监督和检查。</w:t>
      </w:r>
    </w:p>
    <w:p w14:paraId="540BF130">
      <w:pPr>
        <w:keepNext w:val="0"/>
        <w:pageBreakBefore w:val="0"/>
        <w:widowControl/>
        <w:numPr>
          <w:ilvl w:val="0"/>
          <w:numId w:val="0"/>
        </w:numPr>
        <w:pBdr>
          <w:top w:val="none" w:color="auto" w:sz="0" w:space="0"/>
          <w:left w:val="none" w:color="auto" w:sz="0" w:space="0"/>
          <w:bottom w:val="none" w:color="auto" w:sz="0" w:space="0"/>
          <w:right w:val="none" w:color="auto" w:sz="0" w:space="0"/>
        </w:pBdr>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.甲方对乙方提供的资料、信息（包括但不限于商业秘密及与业务有关的客户的信息及其他信息等）负保密责任。未经</w:t>
      </w:r>
      <w:r>
        <w:rPr>
          <w:rFonts w:hint="eastAsia" w:ascii="仿宋" w:hAnsi="仿宋" w:eastAsia="仿宋" w:cs="仿宋"/>
          <w:color w:val="auto"/>
          <w:sz w:val="28"/>
          <w:szCs w:val="28"/>
          <w:highlight w:val="none"/>
          <w:lang w:val="en-US" w:eastAsia="zh-CN"/>
        </w:rPr>
        <w:t>对</w:t>
      </w:r>
      <w:r>
        <w:rPr>
          <w:rFonts w:hint="eastAsia" w:ascii="仿宋" w:hAnsi="仿宋" w:eastAsia="仿宋" w:cs="仿宋"/>
          <w:color w:val="auto"/>
          <w:sz w:val="28"/>
          <w:szCs w:val="28"/>
          <w:highlight w:val="none"/>
        </w:rPr>
        <w:t>方事先书面同意，不得以任何方式进行利用、向任何第三方披露或以其他方式予以公开。</w:t>
      </w:r>
    </w:p>
    <w:p w14:paraId="753703AE">
      <w:pPr>
        <w:keepNext w:val="0"/>
        <w:pageBreakBefore w:val="0"/>
        <w:widowControl/>
        <w:numPr>
          <w:ilvl w:val="0"/>
          <w:numId w:val="0"/>
        </w:numPr>
        <w:pBdr>
          <w:top w:val="none" w:color="auto" w:sz="0" w:space="0"/>
          <w:left w:val="none" w:color="auto" w:sz="0" w:space="0"/>
          <w:bottom w:val="none" w:color="auto" w:sz="0" w:space="0"/>
          <w:right w:val="none" w:color="auto" w:sz="0" w:space="0"/>
        </w:pBdr>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4.甲方对乙方的违约行为，有权要求乙方在合理期限内完成整改要求；若乙方未按甲方要求完成整改的，经过甲方再次提醒仍未完成整改的，甲方有权解除合同没收履约保证金，并要求乙方赔偿由此给甲方造成的损失。</w:t>
      </w:r>
    </w:p>
    <w:p w14:paraId="009D8751">
      <w:pPr>
        <w:keepNext w:val="0"/>
        <w:pageBreakBefore w:val="0"/>
        <w:widowControl/>
        <w:numPr>
          <w:ilvl w:val="0"/>
          <w:numId w:val="0"/>
        </w:numPr>
        <w:pBdr>
          <w:top w:val="none" w:color="auto" w:sz="0" w:space="0"/>
          <w:left w:val="none" w:color="auto" w:sz="0" w:space="0"/>
          <w:bottom w:val="none" w:color="auto" w:sz="0" w:space="0"/>
          <w:right w:val="none" w:color="auto" w:sz="0" w:space="0"/>
        </w:pBdr>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u w:val="none"/>
          <w:lang w:val="en-US" w:eastAsia="zh-CN"/>
        </w:rPr>
        <w:t>5.因乙方运营使用不当导致甲方的基建设施设备等损坏需要维修的由乙方全部承担。</w:t>
      </w:r>
    </w:p>
    <w:p w14:paraId="26705650">
      <w:pPr>
        <w:keepNext w:val="0"/>
        <w:pageBreakBefore w:val="0"/>
        <w:kinsoku/>
        <w:overflowPunct/>
        <w:topLinePunct w:val="0"/>
        <w:autoSpaceDE/>
        <w:autoSpaceDN/>
        <w:bidi w:val="0"/>
        <w:spacing w:line="480" w:lineRule="exact"/>
        <w:ind w:left="0" w:right="0" w:firstLine="562" w:firstLineChars="200"/>
        <w:jc w:val="left"/>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（二）乙方权利与义务</w:t>
      </w:r>
    </w:p>
    <w:p w14:paraId="2D4F16FE">
      <w:pPr>
        <w:keepNext w:val="0"/>
        <w:pageBreakBefore w:val="0"/>
        <w:widowControl/>
        <w:numPr>
          <w:ilvl w:val="0"/>
          <w:numId w:val="0"/>
        </w:numPr>
        <w:pBdr>
          <w:top w:val="none" w:color="auto" w:sz="0" w:space="0"/>
          <w:left w:val="none" w:color="auto" w:sz="0" w:space="0"/>
          <w:bottom w:val="none" w:color="auto" w:sz="0" w:space="0"/>
          <w:right w:val="none" w:color="auto" w:sz="0" w:space="0"/>
        </w:pBdr>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u w:val="none"/>
          <w:lang w:val="en-US" w:eastAsia="zh-CN"/>
        </w:rPr>
        <w:t>1.乙方</w:t>
      </w:r>
      <w:r>
        <w:rPr>
          <w:rFonts w:hint="eastAsia" w:ascii="仿宋" w:hAnsi="仿宋" w:eastAsia="仿宋" w:cs="仿宋"/>
          <w:kern w:val="0"/>
          <w:sz w:val="28"/>
          <w:szCs w:val="28"/>
          <w:lang w:val="en-US" w:eastAsia="zh-CN" w:bidi="ar"/>
        </w:rPr>
        <w:t>须在开业前办结经营所需工商、公安、税务、卫生等全部证照及行政审批，运营期内保持资质持续有效。</w:t>
      </w:r>
    </w:p>
    <w:p w14:paraId="7933A746">
      <w:pPr>
        <w:keepNext w:val="0"/>
        <w:pageBreakBefore w:val="0"/>
        <w:widowControl/>
        <w:numPr>
          <w:ilvl w:val="0"/>
          <w:numId w:val="0"/>
        </w:numPr>
        <w:pBdr>
          <w:top w:val="none" w:color="auto" w:sz="0" w:space="0"/>
          <w:left w:val="none" w:color="auto" w:sz="0" w:space="0"/>
          <w:bottom w:val="none" w:color="auto" w:sz="0" w:space="0"/>
          <w:right w:val="none" w:color="auto" w:sz="0" w:space="0"/>
        </w:pBdr>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u w:val="none"/>
          <w:lang w:val="en-US" w:eastAsia="zh-CN"/>
        </w:rPr>
        <w:t>2.</w:t>
      </w:r>
      <w:r>
        <w:rPr>
          <w:rFonts w:hint="eastAsia" w:ascii="仿宋" w:hAnsi="仿宋" w:eastAsia="仿宋" w:cs="仿宋"/>
          <w:color w:val="auto"/>
          <w:sz w:val="28"/>
          <w:szCs w:val="28"/>
          <w:highlight w:val="none"/>
          <w:lang w:eastAsia="zh-CN"/>
        </w:rPr>
        <w:t>乙方</w:t>
      </w:r>
      <w:r>
        <w:rPr>
          <w:rFonts w:hint="eastAsia" w:ascii="仿宋" w:hAnsi="仿宋" w:eastAsia="仿宋" w:cs="仿宋"/>
          <w:kern w:val="0"/>
          <w:sz w:val="28"/>
          <w:szCs w:val="28"/>
          <w:lang w:val="en-US" w:eastAsia="zh-CN" w:bidi="ar"/>
        </w:rPr>
        <w:t>投放设备须符合国家规范标准，无质量隐患</w:t>
      </w:r>
      <w:r>
        <w:rPr>
          <w:rFonts w:hint="eastAsia" w:ascii="仿宋" w:hAnsi="仿宋" w:eastAsia="仿宋" w:cs="仿宋"/>
          <w:color w:val="auto"/>
          <w:sz w:val="28"/>
          <w:szCs w:val="28"/>
          <w:highlight w:val="none"/>
        </w:rPr>
        <w:t>。</w:t>
      </w:r>
    </w:p>
    <w:p w14:paraId="012CB4D3">
      <w:pPr>
        <w:keepNext w:val="0"/>
        <w:pageBreakBefore w:val="0"/>
        <w:widowControl/>
        <w:numPr>
          <w:ilvl w:val="0"/>
          <w:numId w:val="0"/>
        </w:numPr>
        <w:pBdr>
          <w:top w:val="none" w:color="auto" w:sz="0" w:space="0"/>
          <w:left w:val="none" w:color="auto" w:sz="0" w:space="0"/>
          <w:bottom w:val="none" w:color="auto" w:sz="0" w:space="0"/>
          <w:right w:val="none" w:color="auto" w:sz="0" w:space="0"/>
        </w:pBdr>
        <w:kinsoku/>
        <w:overflowPunct/>
        <w:topLinePunct w:val="0"/>
        <w:autoSpaceDE/>
        <w:autoSpaceDN/>
        <w:bidi w:val="0"/>
        <w:spacing w:line="480" w:lineRule="exact"/>
        <w:ind w:left="0" w:right="0" w:firstLine="560" w:firstLineChars="200"/>
        <w:jc w:val="left"/>
        <w:rPr>
          <w:rFonts w:hint="eastAsia" w:ascii="仿宋" w:hAnsi="仿宋" w:eastAsia="仿宋" w:cs="仿宋"/>
          <w:b w:val="0"/>
          <w:bCs w:val="0"/>
          <w:color w:val="auto"/>
          <w:sz w:val="28"/>
          <w:szCs w:val="28"/>
          <w:highlight w:val="none"/>
          <w:lang w:eastAsia="zh-CN"/>
        </w:rPr>
      </w:pPr>
      <w:r>
        <w:rPr>
          <w:rFonts w:hint="eastAsia" w:ascii="仿宋" w:hAnsi="仿宋" w:eastAsia="仿宋" w:cs="仿宋"/>
          <w:color w:val="auto"/>
          <w:sz w:val="28"/>
          <w:szCs w:val="28"/>
          <w:highlight w:val="none"/>
          <w:lang w:val="en-US" w:eastAsia="zh-CN"/>
        </w:rPr>
        <w:t>3.</w:t>
      </w:r>
      <w:r>
        <w:rPr>
          <w:rFonts w:hint="eastAsia" w:ascii="仿宋" w:hAnsi="仿宋" w:eastAsia="仿宋" w:cs="仿宋"/>
          <w:b w:val="0"/>
          <w:bCs w:val="0"/>
          <w:color w:val="auto"/>
          <w:sz w:val="28"/>
          <w:szCs w:val="28"/>
          <w:highlight w:val="none"/>
          <w:lang w:val="en-US" w:eastAsia="zh-CN"/>
        </w:rPr>
        <w:t>乙方</w:t>
      </w:r>
      <w:r>
        <w:rPr>
          <w:rFonts w:hint="eastAsia" w:ascii="仿宋" w:hAnsi="仿宋" w:eastAsia="仿宋" w:cs="仿宋"/>
          <w:kern w:val="0"/>
          <w:sz w:val="28"/>
          <w:szCs w:val="28"/>
          <w:lang w:val="en-US" w:eastAsia="zh-CN" w:bidi="ar"/>
        </w:rPr>
        <w:t>承担项目前期设施建设、设备采购、日常运营、安全管理等全部工作及所有费用，独立承担全部经营风险与安全责任，甲方不承担任何经营及安全风险责任。</w:t>
      </w:r>
    </w:p>
    <w:p w14:paraId="10396C06">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2"/>
          <w:sz w:val="28"/>
          <w:szCs w:val="28"/>
          <w:lang w:val="en-US" w:eastAsia="zh-CN" w:bidi="ar"/>
        </w:rPr>
      </w:pP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lang w:eastAsia="zh-CN"/>
        </w:rPr>
        <w:t>甲方</w:t>
      </w:r>
      <w:r>
        <w:rPr>
          <w:rFonts w:hint="eastAsia" w:ascii="仿宋" w:hAnsi="仿宋" w:eastAsia="仿宋" w:cs="仿宋"/>
          <w:kern w:val="2"/>
          <w:sz w:val="28"/>
          <w:szCs w:val="28"/>
          <w:lang w:val="en-US" w:eastAsia="zh-CN" w:bidi="ar"/>
        </w:rPr>
        <w:t>如需在项目红线范围内增设、改造设施设备，乙方须无条件配合。</w:t>
      </w:r>
    </w:p>
    <w:p w14:paraId="001933AE">
      <w:pPr>
        <w:keepNext w:val="0"/>
        <w:keepLines/>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480" w:lineRule="exact"/>
        <w:ind w:left="0" w:right="0" w:firstLine="560" w:firstLineChars="200"/>
        <w:jc w:val="left"/>
        <w:textAlignment w:val="auto"/>
        <w:rPr>
          <w:rFonts w:hint="eastAsia" w:ascii="仿宋" w:hAnsi="仿宋" w:eastAsia="仿宋" w:cs="仿宋"/>
          <w:kern w:val="2"/>
          <w:sz w:val="28"/>
          <w:szCs w:val="28"/>
          <w:lang w:val="en-US" w:eastAsia="zh-CN" w:bidi="ar"/>
        </w:rPr>
      </w:pPr>
      <w:r>
        <w:rPr>
          <w:rFonts w:hint="eastAsia" w:ascii="仿宋" w:hAnsi="仿宋" w:eastAsia="仿宋" w:cs="仿宋"/>
          <w:b w:val="0"/>
          <w:bCs w:val="0"/>
          <w:sz w:val="28"/>
          <w:szCs w:val="28"/>
          <w:lang w:val="en-US" w:eastAsia="zh-CN"/>
        </w:rPr>
        <w:t>5.</w:t>
      </w:r>
      <w:r>
        <w:rPr>
          <w:rFonts w:hint="eastAsia" w:ascii="仿宋" w:hAnsi="仿宋" w:eastAsia="仿宋" w:cs="仿宋"/>
          <w:kern w:val="2"/>
          <w:sz w:val="28"/>
          <w:szCs w:val="28"/>
          <w:lang w:val="en-US" w:eastAsia="zh-CN" w:bidi="ar"/>
        </w:rPr>
        <w:t>乙方严格遵守本方案全部运营、安全、考核及财务规定，足额投放设备、持证规范运营、落实安全主体责任，主动配合甲方监督检查、整改提升及台账报送工作。</w:t>
      </w:r>
    </w:p>
    <w:p w14:paraId="68AF069C">
      <w:pPr>
        <w:keepNext w:val="0"/>
        <w:pageBreakBefore w:val="0"/>
        <w:widowControl/>
        <w:numPr>
          <w:ilvl w:val="0"/>
          <w:numId w:val="0"/>
        </w:numPr>
        <w:pBdr>
          <w:top w:val="none" w:color="auto" w:sz="0" w:space="0"/>
          <w:left w:val="none" w:color="auto" w:sz="0" w:space="0"/>
          <w:bottom w:val="none" w:color="auto" w:sz="0" w:space="0"/>
          <w:right w:val="none" w:color="auto" w:sz="0" w:space="0"/>
        </w:pBdr>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kern w:val="2"/>
          <w:sz w:val="28"/>
          <w:szCs w:val="28"/>
          <w:lang w:val="en-US" w:eastAsia="zh-CN" w:bidi="ar"/>
        </w:rPr>
        <w:t>6.项目期满后，乙方立即终止经营，完成场地清理、设备规整、资料归档，无条件配合甲方完成整体移交及收尾验收工作。</w:t>
      </w:r>
    </w:p>
    <w:p w14:paraId="0B08D97C">
      <w:pPr>
        <w:keepNext w:val="0"/>
        <w:pageBreakBefore w:val="0"/>
        <w:numPr>
          <w:ilvl w:val="0"/>
          <w:numId w:val="0"/>
        </w:numPr>
        <w:kinsoku/>
        <w:overflowPunct/>
        <w:topLinePunct w:val="0"/>
        <w:autoSpaceDE/>
        <w:autoSpaceDN/>
        <w:bidi w:val="0"/>
        <w:spacing w:line="480" w:lineRule="exact"/>
        <w:ind w:left="0" w:leftChars="0" w:right="0" w:rightChars="0" w:firstLine="640" w:firstLineChars="200"/>
        <w:jc w:val="left"/>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七、不可抗力</w:t>
      </w:r>
    </w:p>
    <w:p w14:paraId="6F58C6FE">
      <w:pPr>
        <w:keepNext w:val="0"/>
        <w:pageBreakBefore w:val="0"/>
        <w:widowControl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1.运营期限内，遇政府公开政策变动或条件限制或政府停止项目等不可抗拒因素</w:t>
      </w:r>
      <w:r>
        <w:rPr>
          <w:rFonts w:hint="eastAsia" w:ascii="仿宋" w:hAnsi="仿宋" w:eastAsia="仿宋" w:cs="仿宋"/>
          <w:b w:val="0"/>
          <w:bCs/>
          <w:color w:val="auto"/>
          <w:sz w:val="28"/>
          <w:szCs w:val="28"/>
          <w:highlight w:val="none"/>
          <w:lang w:val="en-US" w:eastAsia="zh-CN"/>
        </w:rPr>
        <w:t>（如政府需要对该场地或设备进行拆除和改造；土地被收储、经营权变更、企业改制、法律法规政策调整等）造成本项目不能继续履行</w:t>
      </w:r>
      <w:r>
        <w:rPr>
          <w:rFonts w:hint="eastAsia" w:ascii="仿宋" w:hAnsi="仿宋" w:eastAsia="仿宋" w:cs="仿宋"/>
          <w:color w:val="auto"/>
          <w:kern w:val="0"/>
          <w:sz w:val="28"/>
          <w:szCs w:val="28"/>
          <w:highlight w:val="none"/>
          <w:lang w:val="en-US" w:eastAsia="zh-CN" w:bidi="ar-SA"/>
        </w:rPr>
        <w:t>，甲方可单方面终止合同，乙方需在收到甲方通知后10个工作日内退场，甲、乙方双方结清账款并终止本项目的合同；甲方无需向乙方支付任何赔偿或补偿。</w:t>
      </w:r>
    </w:p>
    <w:p w14:paraId="416F89BF">
      <w:pPr>
        <w:keepNext w:val="0"/>
        <w:pageBreakBefore w:val="0"/>
        <w:widowControl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由于地震、台风、水灾、火灾、战争以及其他不能预见并且对其发生和后果不能防止或避免的不可抗力事故，致使直接影响本合同的履行或者不能按约定的条件履行时，遇有上述不可抗力事故的一方，应立即将事故情况书面通知另一方，并应在3日内提供事故详情及合同不能履行、或者部分不能履行、或者需要延期履行的理由的有效证明文件。因不可抗力不能履行本合同的，根据不可抗力的影响，部分或者全部免除责任。</w:t>
      </w:r>
    </w:p>
    <w:p w14:paraId="0B594628">
      <w:pPr>
        <w:keepNext w:val="0"/>
        <w:pageBreakBefore w:val="0"/>
        <w:numPr>
          <w:ilvl w:val="0"/>
          <w:numId w:val="0"/>
        </w:numPr>
        <w:kinsoku/>
        <w:overflowPunct/>
        <w:topLinePunct w:val="0"/>
        <w:autoSpaceDE/>
        <w:autoSpaceDN/>
        <w:bidi w:val="0"/>
        <w:spacing w:line="480" w:lineRule="exact"/>
        <w:ind w:left="0" w:leftChars="0" w:right="0" w:rightChars="0" w:firstLine="640" w:firstLineChars="200"/>
        <w:jc w:val="left"/>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八、违约条款</w:t>
      </w:r>
    </w:p>
    <w:p w14:paraId="1A6ADE01">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w:t>
      </w:r>
      <w:r>
        <w:rPr>
          <w:rFonts w:hint="eastAsia" w:ascii="仿宋" w:hAnsi="仿宋" w:eastAsia="仿宋" w:cs="仿宋"/>
          <w:b w:val="0"/>
          <w:bCs/>
          <w:sz w:val="28"/>
          <w:szCs w:val="28"/>
          <w:highlight w:val="none"/>
          <w:lang w:val="en-US" w:eastAsia="zh-CN"/>
        </w:rPr>
        <w:t>合同签订后，乙方在5工作日内按询比文件及响应文件的要求</w:t>
      </w:r>
      <w:r>
        <w:rPr>
          <w:rFonts w:hint="eastAsia" w:ascii="仿宋" w:hAnsi="仿宋" w:eastAsia="仿宋" w:cs="仿宋"/>
          <w:bCs/>
          <w:sz w:val="28"/>
          <w:szCs w:val="28"/>
          <w:highlight w:val="none"/>
          <w:lang w:val="en-US" w:eastAsia="zh-CN"/>
        </w:rPr>
        <w:t>配备</w:t>
      </w:r>
      <w:r>
        <w:rPr>
          <w:rFonts w:hint="eastAsia" w:ascii="仿宋" w:hAnsi="仿宋" w:eastAsia="仿宋" w:cs="仿宋"/>
          <w:b w:val="0"/>
          <w:bCs/>
          <w:sz w:val="28"/>
          <w:szCs w:val="28"/>
          <w:highlight w:val="none"/>
          <w:lang w:val="en-US" w:eastAsia="zh-CN"/>
        </w:rPr>
        <w:t>所有设备及人员进场运营的，每超过一天按照1000/天的标准</w:t>
      </w:r>
      <w:r>
        <w:rPr>
          <w:rFonts w:hint="eastAsia" w:ascii="仿宋" w:hAnsi="仿宋" w:eastAsia="仿宋" w:cs="仿宋"/>
          <w:b w:val="0"/>
          <w:bCs/>
          <w:sz w:val="28"/>
          <w:szCs w:val="28"/>
          <w:highlight w:val="none"/>
          <w:lang w:eastAsia="zh-CN"/>
        </w:rPr>
        <w:t>向甲方支付违约金。超过7天未配备到位进场运营的，视为</w:t>
      </w:r>
      <w:r>
        <w:rPr>
          <w:rFonts w:hint="eastAsia" w:ascii="仿宋" w:hAnsi="仿宋" w:eastAsia="仿宋" w:cs="仿宋"/>
          <w:b w:val="0"/>
          <w:bCs/>
          <w:sz w:val="28"/>
          <w:szCs w:val="28"/>
          <w:highlight w:val="none"/>
          <w:lang w:val="en-US" w:eastAsia="zh-CN"/>
        </w:rPr>
        <w:t>乙方</w:t>
      </w:r>
      <w:r>
        <w:rPr>
          <w:rFonts w:hint="eastAsia" w:ascii="仿宋" w:hAnsi="仿宋" w:eastAsia="仿宋" w:cs="仿宋"/>
          <w:b w:val="0"/>
          <w:bCs/>
          <w:sz w:val="28"/>
          <w:szCs w:val="28"/>
          <w:highlight w:val="none"/>
          <w:lang w:eastAsia="zh-CN"/>
        </w:rPr>
        <w:t>违约，甲方可单方面解除合同并没收</w:t>
      </w:r>
      <w:r>
        <w:rPr>
          <w:rFonts w:hint="eastAsia" w:ascii="仿宋" w:hAnsi="仿宋" w:eastAsia="仿宋" w:cs="仿宋"/>
          <w:b w:val="0"/>
          <w:bCs/>
          <w:sz w:val="28"/>
          <w:szCs w:val="28"/>
          <w:highlight w:val="none"/>
          <w:lang w:val="en-US" w:eastAsia="zh-CN"/>
        </w:rPr>
        <w:t>乙方</w:t>
      </w:r>
      <w:r>
        <w:rPr>
          <w:rFonts w:hint="eastAsia" w:ascii="仿宋" w:hAnsi="仿宋" w:eastAsia="仿宋" w:cs="仿宋"/>
          <w:b w:val="0"/>
          <w:bCs/>
          <w:sz w:val="28"/>
          <w:szCs w:val="28"/>
          <w:highlight w:val="none"/>
          <w:lang w:eastAsia="zh-CN"/>
        </w:rPr>
        <w:t>履约保证金。</w:t>
      </w:r>
    </w:p>
    <w:p w14:paraId="11231ED9">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lang w:eastAsia="zh-CN"/>
        </w:rPr>
        <w:t>乙方</w:t>
      </w:r>
      <w:r>
        <w:rPr>
          <w:rFonts w:hint="eastAsia" w:ascii="仿宋" w:hAnsi="仿宋" w:eastAsia="仿宋" w:cs="仿宋"/>
          <w:color w:val="auto"/>
          <w:sz w:val="28"/>
          <w:szCs w:val="28"/>
          <w:highlight w:val="none"/>
        </w:rPr>
        <w:t>不得随意更改用途或分割，该项目必须由</w:t>
      </w:r>
      <w:r>
        <w:rPr>
          <w:rFonts w:hint="eastAsia" w:ascii="仿宋" w:hAnsi="仿宋" w:eastAsia="仿宋" w:cs="仿宋"/>
          <w:color w:val="auto"/>
          <w:sz w:val="28"/>
          <w:szCs w:val="28"/>
          <w:highlight w:val="none"/>
          <w:lang w:eastAsia="zh-CN"/>
        </w:rPr>
        <w:t>乙方</w:t>
      </w:r>
      <w:r>
        <w:rPr>
          <w:rFonts w:hint="eastAsia" w:ascii="仿宋" w:hAnsi="仿宋" w:eastAsia="仿宋" w:cs="仿宋"/>
          <w:color w:val="auto"/>
          <w:sz w:val="28"/>
          <w:szCs w:val="28"/>
          <w:highlight w:val="none"/>
        </w:rPr>
        <w:t>整体自营，未经</w:t>
      </w:r>
      <w:r>
        <w:rPr>
          <w:rFonts w:hint="eastAsia" w:ascii="仿宋" w:hAnsi="仿宋" w:eastAsia="仿宋" w:cs="仿宋"/>
          <w:color w:val="auto"/>
          <w:sz w:val="28"/>
          <w:szCs w:val="28"/>
          <w:highlight w:val="none"/>
          <w:lang w:eastAsia="zh-CN"/>
        </w:rPr>
        <w:t>甲方</w:t>
      </w:r>
      <w:r>
        <w:rPr>
          <w:rFonts w:hint="eastAsia" w:ascii="仿宋" w:hAnsi="仿宋" w:eastAsia="仿宋" w:cs="仿宋"/>
          <w:color w:val="auto"/>
          <w:sz w:val="28"/>
          <w:szCs w:val="28"/>
          <w:highlight w:val="none"/>
        </w:rPr>
        <w:t>允许不得进行转包、分包等</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否则视为乙方违约，甲方有权终止合同，并没收履约保证金</w:t>
      </w:r>
      <w:r>
        <w:rPr>
          <w:rFonts w:hint="eastAsia" w:ascii="仿宋" w:hAnsi="仿宋" w:eastAsia="仿宋" w:cs="仿宋"/>
          <w:color w:val="auto"/>
          <w:sz w:val="28"/>
          <w:szCs w:val="28"/>
          <w:highlight w:val="none"/>
        </w:rPr>
        <w:t>。</w:t>
      </w:r>
    </w:p>
    <w:p w14:paraId="17BFD325">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3.乙方</w:t>
      </w:r>
      <w:r>
        <w:rPr>
          <w:rFonts w:hint="eastAsia" w:ascii="仿宋" w:hAnsi="仿宋" w:eastAsia="仿宋" w:cs="仿宋"/>
          <w:color w:val="auto"/>
          <w:sz w:val="28"/>
          <w:szCs w:val="28"/>
          <w:highlight w:val="none"/>
        </w:rPr>
        <w:t>应保证项目持续经营，非客观原因不可随意暂停项目营业，每暂停营业一天的，应按照</w:t>
      </w:r>
      <w:r>
        <w:rPr>
          <w:rFonts w:hint="eastAsia" w:ascii="仿宋" w:hAnsi="仿宋" w:eastAsia="仿宋" w:cs="仿宋"/>
          <w:color w:val="auto"/>
          <w:sz w:val="28"/>
          <w:szCs w:val="28"/>
          <w:highlight w:val="none"/>
          <w:lang w:val="en-US" w:eastAsia="zh-CN"/>
        </w:rPr>
        <w:t>2000</w:t>
      </w:r>
      <w:r>
        <w:rPr>
          <w:rFonts w:hint="eastAsia" w:ascii="仿宋" w:hAnsi="仿宋" w:eastAsia="仿宋" w:cs="仿宋"/>
          <w:color w:val="auto"/>
          <w:sz w:val="28"/>
          <w:szCs w:val="28"/>
          <w:highlight w:val="none"/>
        </w:rPr>
        <w:t>元/天的标准向</w:t>
      </w:r>
      <w:r>
        <w:rPr>
          <w:rFonts w:hint="eastAsia" w:ascii="仿宋" w:hAnsi="仿宋" w:eastAsia="仿宋" w:cs="仿宋"/>
          <w:color w:val="auto"/>
          <w:sz w:val="28"/>
          <w:szCs w:val="28"/>
          <w:highlight w:val="none"/>
          <w:lang w:val="en-US" w:eastAsia="zh-CN"/>
        </w:rPr>
        <w:t>甲方</w:t>
      </w:r>
      <w:r>
        <w:rPr>
          <w:rFonts w:hint="eastAsia" w:ascii="仿宋" w:hAnsi="仿宋" w:eastAsia="仿宋" w:cs="仿宋"/>
          <w:color w:val="auto"/>
          <w:sz w:val="28"/>
          <w:szCs w:val="28"/>
          <w:highlight w:val="none"/>
        </w:rPr>
        <w:t>支付违约金。暂停营业超过7天的，</w:t>
      </w:r>
      <w:r>
        <w:rPr>
          <w:rFonts w:hint="eastAsia" w:ascii="仿宋" w:hAnsi="仿宋" w:eastAsia="仿宋" w:cs="仿宋"/>
          <w:color w:val="auto"/>
          <w:sz w:val="28"/>
          <w:szCs w:val="28"/>
          <w:highlight w:val="none"/>
          <w:lang w:val="en-US" w:eastAsia="zh-CN"/>
        </w:rPr>
        <w:t>甲方</w:t>
      </w:r>
      <w:r>
        <w:rPr>
          <w:rFonts w:hint="eastAsia" w:ascii="仿宋" w:hAnsi="仿宋" w:eastAsia="仿宋" w:cs="仿宋"/>
          <w:color w:val="auto"/>
          <w:sz w:val="28"/>
          <w:szCs w:val="28"/>
          <w:highlight w:val="none"/>
        </w:rPr>
        <w:t>有权解除本项目合同并没收履约保证金。</w:t>
      </w:r>
    </w:p>
    <w:p w14:paraId="7E45A531">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.乙方若出现私自收取本项目营收款项的，每出现一次，</w:t>
      </w:r>
      <w:r>
        <w:rPr>
          <w:rFonts w:hint="eastAsia" w:ascii="仿宋" w:hAnsi="仿宋" w:eastAsia="仿宋" w:cs="仿宋"/>
          <w:color w:val="auto"/>
          <w:sz w:val="28"/>
          <w:szCs w:val="28"/>
          <w:highlight w:val="none"/>
          <w:lang w:val="en-US" w:eastAsia="zh-CN"/>
        </w:rPr>
        <w:t>除在服务质量考核中予以扣分外，</w:t>
      </w:r>
      <w:r>
        <w:rPr>
          <w:rFonts w:hint="eastAsia" w:ascii="仿宋" w:hAnsi="仿宋" w:eastAsia="仿宋" w:cs="仿宋"/>
          <w:color w:val="auto"/>
          <w:sz w:val="28"/>
          <w:szCs w:val="28"/>
          <w:highlight w:val="none"/>
        </w:rPr>
        <w:t>乙方还需向甲方支付人民币</w:t>
      </w:r>
      <w:r>
        <w:rPr>
          <w:rFonts w:hint="eastAsia" w:ascii="仿宋" w:hAnsi="仿宋" w:eastAsia="仿宋" w:cs="仿宋"/>
          <w:color w:val="auto"/>
          <w:sz w:val="28"/>
          <w:szCs w:val="28"/>
          <w:highlight w:val="none"/>
          <w:lang w:val="en-US" w:eastAsia="zh-CN"/>
        </w:rPr>
        <w:t>伍仟</w:t>
      </w:r>
      <w:r>
        <w:rPr>
          <w:rFonts w:hint="eastAsia" w:ascii="仿宋" w:hAnsi="仿宋" w:eastAsia="仿宋" w:cs="仿宋"/>
          <w:color w:val="auto"/>
          <w:sz w:val="28"/>
          <w:szCs w:val="28"/>
          <w:highlight w:val="none"/>
        </w:rPr>
        <w:t>元的违约金。若私自收取本项目营收款项</w:t>
      </w:r>
      <w:r>
        <w:rPr>
          <w:rFonts w:hint="eastAsia" w:ascii="仿宋" w:hAnsi="仿宋" w:eastAsia="仿宋" w:cs="仿宋"/>
          <w:color w:val="auto"/>
          <w:sz w:val="28"/>
          <w:szCs w:val="28"/>
          <w:highlight w:val="none"/>
          <w:lang w:val="en-US" w:eastAsia="zh-CN"/>
        </w:rPr>
        <w:t>超过</w:t>
      </w:r>
      <w:r>
        <w:rPr>
          <w:rFonts w:hint="eastAsia" w:ascii="仿宋" w:hAnsi="仿宋" w:eastAsia="仿宋" w:cs="仿宋"/>
          <w:color w:val="auto"/>
          <w:sz w:val="28"/>
          <w:szCs w:val="28"/>
          <w:highlight w:val="none"/>
        </w:rPr>
        <w:t>3次</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含</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以上</w:t>
      </w:r>
      <w:r>
        <w:rPr>
          <w:rFonts w:hint="eastAsia" w:ascii="仿宋" w:hAnsi="仿宋" w:eastAsia="仿宋" w:cs="仿宋"/>
          <w:color w:val="auto"/>
          <w:sz w:val="28"/>
          <w:szCs w:val="28"/>
          <w:highlight w:val="none"/>
          <w:lang w:val="en-US" w:eastAsia="zh-CN"/>
        </w:rPr>
        <w:t>的</w:t>
      </w:r>
      <w:r>
        <w:rPr>
          <w:rFonts w:hint="eastAsia" w:ascii="仿宋" w:hAnsi="仿宋" w:eastAsia="仿宋" w:cs="仿宋"/>
          <w:color w:val="auto"/>
          <w:sz w:val="28"/>
          <w:szCs w:val="28"/>
          <w:highlight w:val="none"/>
        </w:rPr>
        <w:t>，视为乙方严重违约，甲方有权终止本合同，</w:t>
      </w:r>
      <w:r>
        <w:rPr>
          <w:rFonts w:hint="eastAsia" w:ascii="仿宋" w:hAnsi="仿宋" w:eastAsia="仿宋" w:cs="仿宋"/>
          <w:color w:val="auto"/>
          <w:sz w:val="28"/>
          <w:szCs w:val="28"/>
          <w:highlight w:val="none"/>
          <w:lang w:val="en-US" w:eastAsia="zh-CN"/>
        </w:rPr>
        <w:t>并没收履约</w:t>
      </w:r>
      <w:r>
        <w:rPr>
          <w:rFonts w:hint="eastAsia" w:ascii="仿宋" w:hAnsi="仿宋" w:eastAsia="仿宋" w:cs="仿宋"/>
          <w:color w:val="auto"/>
          <w:sz w:val="28"/>
          <w:szCs w:val="28"/>
          <w:highlight w:val="none"/>
        </w:rPr>
        <w:t>保证金。</w:t>
      </w:r>
    </w:p>
    <w:p w14:paraId="0BE6647A">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.由于乙方公司经营引起的债权债务问题而引起的法律和经济纠纷问题与甲方无关，如给甲方造成经济损失的，乙方应赔偿。</w:t>
      </w:r>
    </w:p>
    <w:p w14:paraId="7EA085D0">
      <w:pPr>
        <w:keepNext w:val="0"/>
        <w:pageBreakBefore w:val="0"/>
        <w:widowControl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6.签订本合同之后，乙方在合同履行期间无正当理由单方解除合同的，或明确表示不履约或以其行为表明不再履行合同的，视为乙方严重违约，甲方有权单方终止合同并没收履约保证金，并赔偿因此给甲方造成的损失。</w:t>
      </w:r>
    </w:p>
    <w:p w14:paraId="7263D362">
      <w:pPr>
        <w:keepNext w:val="0"/>
        <w:pageBreakBefore w:val="0"/>
        <w:widowControl w:val="0"/>
        <w:kinsoku/>
        <w:overflowPunct/>
        <w:topLinePunct w:val="0"/>
        <w:autoSpaceDE/>
        <w:autoSpaceDN/>
        <w:bidi w:val="0"/>
        <w:spacing w:line="480" w:lineRule="exact"/>
        <w:ind w:left="0" w:right="0" w:firstLine="560" w:firstLineChars="200"/>
        <w:jc w:val="left"/>
        <w:rPr>
          <w:rFonts w:hint="eastAsia" w:ascii="仿宋" w:hAnsi="仿宋" w:eastAsia="仿宋" w:cs="仿宋"/>
          <w:b w:val="0"/>
          <w:bCs w:val="0"/>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7.</w:t>
      </w:r>
      <w:r>
        <w:rPr>
          <w:rFonts w:hint="eastAsia" w:ascii="仿宋" w:hAnsi="仿宋" w:eastAsia="仿宋" w:cs="仿宋"/>
          <w:b w:val="0"/>
          <w:bCs w:val="0"/>
          <w:color w:val="auto"/>
          <w:kern w:val="0"/>
          <w:sz w:val="28"/>
          <w:szCs w:val="28"/>
          <w:highlight w:val="none"/>
          <w:lang w:val="en-US" w:eastAsia="zh-CN" w:bidi="ar-SA"/>
        </w:rPr>
        <w:t>乙方有下列行为之一的，甲方有权要求乙方在合理期限内完成整改要求，若乙方未按甲方要求完成整改的，甲方有权终止合同，并不退还履约保证金，乙方应在合同终止的5日内退场，因此而造成损失的，另由乙方负责赔偿：</w:t>
      </w:r>
    </w:p>
    <w:p w14:paraId="7B84C6D6">
      <w:pPr>
        <w:keepNext w:val="0"/>
        <w:pageBreakBefore w:val="0"/>
        <w:widowControl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（1）不具备合法经营资格的，包括因违法经营被有关行政管理部门吊销、收回部分或全部经营证照的，包括但不限于营业执照、税务登记证、设备许可证件；</w:t>
      </w:r>
    </w:p>
    <w:p w14:paraId="3EB81DD2">
      <w:pPr>
        <w:keepNext w:val="0"/>
        <w:pageBreakBefore w:val="0"/>
        <w:widowControl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（2）未经甲方许可，擅自改变本项目场地用途、从事本合同约定以外的其他项目的；</w:t>
      </w:r>
    </w:p>
    <w:p w14:paraId="19EE477A">
      <w:pPr>
        <w:keepNext w:val="0"/>
        <w:pageBreakBefore w:val="0"/>
        <w:widowControl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（3）擅自停止经营活动，并造成恶劣影响的；</w:t>
      </w:r>
    </w:p>
    <w:p w14:paraId="0F0550AA">
      <w:pPr>
        <w:keepNext w:val="0"/>
        <w:pageBreakBefore w:val="0"/>
        <w:widowControl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（4）利用本项目场地进行违法违规活动，或违法、违规、不文明经营，经新闻媒体曝光，造成恶劣影响的；</w:t>
      </w:r>
    </w:p>
    <w:p w14:paraId="11836C7E">
      <w:pPr>
        <w:keepNext w:val="0"/>
        <w:pageBreakBefore w:val="0"/>
        <w:widowControl w:val="0"/>
        <w:kinsoku/>
        <w:overflowPunct/>
        <w:topLinePunct w:val="0"/>
        <w:autoSpaceDE/>
        <w:autoSpaceDN/>
        <w:bidi w:val="0"/>
        <w:spacing w:line="480" w:lineRule="exact"/>
        <w:ind w:left="0" w:right="0" w:firstLine="560" w:firstLineChars="200"/>
        <w:jc w:val="left"/>
        <w:rPr>
          <w:rFonts w:hint="eastAsia" w:ascii="仿宋" w:hAnsi="仿宋" w:eastAsia="仿宋" w:cs="仿宋"/>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（5）违反甲方、城市以及公园管理部门等依法制订的规章制度，情节严重或拒不服从甲方、城市以及公园管理部门等管理的。</w:t>
      </w:r>
    </w:p>
    <w:p w14:paraId="4DBC8C3D">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.上述违约金、赔偿金等费用甲方有权从未付款项或者乙方的</w:t>
      </w:r>
      <w:r>
        <w:rPr>
          <w:rFonts w:hint="eastAsia" w:ascii="仿宋" w:hAnsi="仿宋" w:eastAsia="仿宋" w:cs="仿宋"/>
          <w:color w:val="auto"/>
          <w:sz w:val="28"/>
          <w:szCs w:val="28"/>
          <w:highlight w:val="none"/>
          <w:lang w:val="en-US" w:eastAsia="zh-CN"/>
        </w:rPr>
        <w:t>履约</w:t>
      </w:r>
      <w:r>
        <w:rPr>
          <w:rFonts w:hint="eastAsia" w:ascii="仿宋" w:hAnsi="仿宋" w:eastAsia="仿宋" w:cs="仿宋"/>
          <w:color w:val="auto"/>
          <w:sz w:val="28"/>
          <w:szCs w:val="28"/>
          <w:highlight w:val="none"/>
        </w:rPr>
        <w:t>保证金中直接扣除</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履约保证金被扣除的，应由乙方在10天内补足</w:t>
      </w:r>
      <w:r>
        <w:rPr>
          <w:rFonts w:hint="eastAsia" w:ascii="仿宋" w:hAnsi="仿宋" w:eastAsia="仿宋" w:cs="仿宋"/>
          <w:color w:val="auto"/>
          <w:sz w:val="28"/>
          <w:szCs w:val="28"/>
          <w:highlight w:val="none"/>
        </w:rPr>
        <w:t>。</w:t>
      </w:r>
    </w:p>
    <w:p w14:paraId="0439B75D">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.本协议项下甲方损失，包括但不限于全部直接及间接损失，以及甲方因此支出的</w:t>
      </w:r>
      <w:r>
        <w:rPr>
          <w:rFonts w:hint="eastAsia" w:ascii="仿宋" w:hAnsi="仿宋" w:eastAsia="仿宋" w:cs="仿宋"/>
          <w:color w:val="auto"/>
          <w:sz w:val="28"/>
          <w:szCs w:val="28"/>
          <w:highlight w:val="none"/>
          <w:lang w:eastAsia="zh-CN"/>
        </w:rPr>
        <w:t>合理</w:t>
      </w:r>
      <w:r>
        <w:rPr>
          <w:rFonts w:hint="eastAsia" w:ascii="仿宋" w:hAnsi="仿宋" w:eastAsia="仿宋" w:cs="仿宋"/>
          <w:color w:val="auto"/>
          <w:sz w:val="28"/>
          <w:szCs w:val="28"/>
          <w:highlight w:val="none"/>
        </w:rPr>
        <w:t>律师费、诉讼费、保全费、保函费等维权相关费用。</w:t>
      </w:r>
    </w:p>
    <w:p w14:paraId="52719E5A">
      <w:pPr>
        <w:keepNext w:val="0"/>
        <w:pageBreakBefore w:val="0"/>
        <w:numPr>
          <w:ilvl w:val="0"/>
          <w:numId w:val="0"/>
        </w:numPr>
        <w:kinsoku/>
        <w:overflowPunct/>
        <w:topLinePunct w:val="0"/>
        <w:autoSpaceDE/>
        <w:autoSpaceDN/>
        <w:bidi w:val="0"/>
        <w:spacing w:line="480" w:lineRule="exact"/>
        <w:ind w:left="0" w:leftChars="0" w:right="0" w:rightChars="0" w:firstLine="640" w:firstLineChars="200"/>
        <w:jc w:val="left"/>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九、通知送达</w:t>
      </w:r>
    </w:p>
    <w:p w14:paraId="03D63AA2">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1、合同各方就履行合同及发行纠纷时，涉及各类通知、协议等文件以及法院、仲裁等司法机关各阶段审理或强制执行涉及的法律文书的送达地址如下：</w:t>
      </w:r>
    </w:p>
    <w:p w14:paraId="047B31C8">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（1）甲方确认其有效的送达地址：</w:t>
      </w:r>
      <w:r>
        <w:rPr>
          <w:rFonts w:hint="eastAsia" w:ascii="仿宋" w:hAnsi="仿宋" w:eastAsia="仿宋" w:cs="仿宋"/>
          <w:b/>
          <w:bCs/>
          <w:color w:val="auto"/>
          <w:sz w:val="28"/>
          <w:szCs w:val="28"/>
          <w:highlight w:val="none"/>
          <w:u w:val="single"/>
        </w:rPr>
        <w:t xml:space="preserve">  </w:t>
      </w:r>
      <w:r>
        <w:rPr>
          <w:rFonts w:hint="eastAsia" w:ascii="仿宋" w:hAnsi="仿宋" w:eastAsia="仿宋" w:cs="仿宋"/>
          <w:b w:val="0"/>
          <w:bCs w:val="0"/>
          <w:color w:val="auto"/>
          <w:sz w:val="28"/>
          <w:szCs w:val="28"/>
          <w:highlight w:val="none"/>
          <w:u w:val="single"/>
        </w:rPr>
        <w:t>福建省福州市台江区国货西路318号天榕花园C座一单元101室</w:t>
      </w:r>
      <w:r>
        <w:rPr>
          <w:rFonts w:hint="eastAsia" w:ascii="仿宋" w:hAnsi="仿宋" w:eastAsia="仿宋" w:cs="仿宋"/>
          <w:b/>
          <w:bCs/>
          <w:color w:val="auto"/>
          <w:sz w:val="28"/>
          <w:szCs w:val="28"/>
          <w:highlight w:val="none"/>
          <w:u w:val="single"/>
        </w:rPr>
        <w:t xml:space="preserve">  </w:t>
      </w:r>
      <w:r>
        <w:rPr>
          <w:rFonts w:hint="eastAsia" w:ascii="仿宋" w:hAnsi="仿宋" w:eastAsia="仿宋" w:cs="仿宋"/>
          <w:b/>
          <w:bCs/>
          <w:color w:val="auto"/>
          <w:sz w:val="28"/>
          <w:szCs w:val="28"/>
          <w:highlight w:val="none"/>
          <w:u w:val="single"/>
          <w:lang w:val="en-US" w:eastAsia="zh-CN"/>
        </w:rPr>
        <w:t xml:space="preserve">  </w:t>
      </w:r>
      <w:r>
        <w:rPr>
          <w:rFonts w:hint="eastAsia" w:ascii="仿宋" w:hAnsi="仿宋" w:eastAsia="仿宋" w:cs="仿宋"/>
          <w:b/>
          <w:bCs/>
          <w:color w:val="auto"/>
          <w:sz w:val="28"/>
          <w:szCs w:val="28"/>
          <w:highlight w:val="none"/>
          <w:u w:val="single"/>
        </w:rPr>
        <w:t xml:space="preserve"> </w:t>
      </w:r>
    </w:p>
    <w:p w14:paraId="7844D74C">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联络人：</w:t>
      </w:r>
      <w:r>
        <w:rPr>
          <w:rFonts w:hint="eastAsia" w:ascii="仿宋" w:hAnsi="仿宋" w:eastAsia="仿宋" w:cs="仿宋"/>
          <w:b/>
          <w:bCs/>
          <w:color w:val="auto"/>
          <w:sz w:val="28"/>
          <w:szCs w:val="28"/>
          <w:highlight w:val="none"/>
          <w:u w:val="single"/>
        </w:rPr>
        <w:t xml:space="preserve">  </w:t>
      </w:r>
      <w:r>
        <w:rPr>
          <w:rFonts w:hint="eastAsia" w:ascii="仿宋" w:hAnsi="仿宋" w:eastAsia="仿宋" w:cs="仿宋"/>
          <w:b/>
          <w:bCs/>
          <w:color w:val="auto"/>
          <w:sz w:val="28"/>
          <w:szCs w:val="28"/>
          <w:highlight w:val="none"/>
          <w:u w:val="single"/>
          <w:lang w:val="en-US" w:eastAsia="zh-CN"/>
        </w:rPr>
        <w:t xml:space="preserve">            </w:t>
      </w:r>
      <w:r>
        <w:rPr>
          <w:rFonts w:hint="eastAsia" w:ascii="仿宋" w:hAnsi="仿宋" w:eastAsia="仿宋" w:cs="仿宋"/>
          <w:b/>
          <w:bCs/>
          <w:color w:val="auto"/>
          <w:sz w:val="28"/>
          <w:szCs w:val="28"/>
          <w:highlight w:val="none"/>
          <w:u w:val="single"/>
        </w:rPr>
        <w:t xml:space="preserve">    </w:t>
      </w:r>
      <w:r>
        <w:rPr>
          <w:rFonts w:hint="eastAsia" w:ascii="仿宋" w:hAnsi="仿宋" w:eastAsia="仿宋" w:cs="仿宋"/>
          <w:color w:val="auto"/>
          <w:sz w:val="28"/>
          <w:szCs w:val="28"/>
          <w:highlight w:val="none"/>
        </w:rPr>
        <w:t xml:space="preserve"> 电话：</w:t>
      </w:r>
      <w:r>
        <w:rPr>
          <w:rFonts w:hint="eastAsia" w:ascii="仿宋" w:hAnsi="仿宋" w:eastAsia="仿宋" w:cs="仿宋"/>
          <w:b/>
          <w:bCs/>
          <w:color w:val="auto"/>
          <w:sz w:val="28"/>
          <w:szCs w:val="28"/>
          <w:highlight w:val="none"/>
          <w:u w:val="single"/>
        </w:rPr>
        <w:t xml:space="preserve"> </w:t>
      </w:r>
      <w:r>
        <w:rPr>
          <w:rFonts w:hint="eastAsia" w:ascii="仿宋" w:hAnsi="仿宋" w:eastAsia="仿宋" w:cs="仿宋"/>
          <w:b/>
          <w:bCs/>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u w:val="single"/>
          <w:lang w:val="en-US" w:eastAsia="zh-CN"/>
        </w:rPr>
        <w:t xml:space="preserve">   </w:t>
      </w:r>
      <w:r>
        <w:rPr>
          <w:rFonts w:hint="eastAsia" w:ascii="仿宋" w:hAnsi="仿宋" w:eastAsia="仿宋" w:cs="仿宋"/>
          <w:b/>
          <w:bCs/>
          <w:color w:val="auto"/>
          <w:sz w:val="28"/>
          <w:szCs w:val="28"/>
          <w:highlight w:val="none"/>
          <w:u w:val="single"/>
          <w:lang w:val="en-US" w:eastAsia="zh-CN"/>
        </w:rPr>
        <w:t xml:space="preserve">     </w:t>
      </w:r>
      <w:r>
        <w:rPr>
          <w:rFonts w:hint="eastAsia" w:ascii="仿宋" w:hAnsi="仿宋" w:eastAsia="仿宋" w:cs="仿宋"/>
          <w:b/>
          <w:bCs/>
          <w:color w:val="auto"/>
          <w:sz w:val="28"/>
          <w:szCs w:val="28"/>
          <w:highlight w:val="none"/>
          <w:u w:val="single"/>
        </w:rPr>
        <w:t xml:space="preserve">  </w:t>
      </w:r>
    </w:p>
    <w:p w14:paraId="76B758CB">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b w:val="0"/>
          <w:bCs w:val="0"/>
          <w:color w:val="auto"/>
          <w:sz w:val="28"/>
          <w:szCs w:val="28"/>
          <w:highlight w:val="none"/>
        </w:rPr>
      </w:pPr>
      <w:r>
        <w:rPr>
          <w:rFonts w:hint="eastAsia" w:ascii="仿宋" w:hAnsi="仿宋" w:eastAsia="仿宋" w:cs="仿宋"/>
          <w:color w:val="auto"/>
          <w:sz w:val="28"/>
          <w:szCs w:val="28"/>
          <w:highlight w:val="none"/>
        </w:rPr>
        <w:t>（2）乙方确认其有效的送达地址：</w:t>
      </w:r>
      <w:r>
        <w:rPr>
          <w:rFonts w:hint="eastAsia" w:ascii="仿宋" w:hAnsi="仿宋" w:eastAsia="仿宋" w:cs="仿宋"/>
          <w:b w:val="0"/>
          <w:bCs w:val="0"/>
          <w:color w:val="auto"/>
          <w:sz w:val="28"/>
          <w:szCs w:val="28"/>
          <w:highlight w:val="none"/>
          <w:u w:val="single"/>
        </w:rPr>
        <w:t xml:space="preserve"> </w:t>
      </w:r>
      <w:r>
        <w:rPr>
          <w:rFonts w:hint="eastAsia" w:ascii="仿宋" w:hAnsi="仿宋" w:eastAsia="仿宋" w:cs="仿宋"/>
          <w:b w:val="0"/>
          <w:bCs w:val="0"/>
          <w:color w:val="auto"/>
          <w:sz w:val="28"/>
          <w:szCs w:val="28"/>
          <w:highlight w:val="none"/>
          <w:u w:val="single"/>
          <w:lang w:val="en-US" w:eastAsia="zh-CN"/>
        </w:rPr>
        <w:t xml:space="preserve">       </w:t>
      </w:r>
    </w:p>
    <w:p w14:paraId="419CBC81">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联络人：</w:t>
      </w:r>
      <w:r>
        <w:rPr>
          <w:rFonts w:hint="eastAsia" w:ascii="仿宋" w:hAnsi="仿宋" w:eastAsia="仿宋" w:cs="仿宋"/>
          <w:b w:val="0"/>
          <w:bCs w:val="0"/>
          <w:color w:val="auto"/>
          <w:sz w:val="28"/>
          <w:szCs w:val="28"/>
          <w:highlight w:val="none"/>
          <w:u w:val="single"/>
        </w:rPr>
        <w:t xml:space="preserve">  </w:t>
      </w:r>
      <w:r>
        <w:rPr>
          <w:rFonts w:hint="eastAsia" w:ascii="仿宋" w:hAnsi="仿宋" w:eastAsia="仿宋" w:cs="仿宋"/>
          <w:b w:val="0"/>
          <w:bCs w:val="0"/>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u w:val="single"/>
        </w:rPr>
        <w:t xml:space="preserve">  </w:t>
      </w:r>
      <w:r>
        <w:rPr>
          <w:rFonts w:hint="eastAsia" w:ascii="仿宋" w:hAnsi="仿宋" w:eastAsia="仿宋" w:cs="仿宋"/>
          <w:b w:val="0"/>
          <w:bCs w:val="0"/>
          <w:color w:val="auto"/>
          <w:sz w:val="28"/>
          <w:szCs w:val="28"/>
          <w:highlight w:val="none"/>
        </w:rPr>
        <w:t xml:space="preserve"> 电话：</w:t>
      </w:r>
      <w:r>
        <w:rPr>
          <w:rFonts w:hint="eastAsia" w:ascii="仿宋" w:hAnsi="仿宋" w:eastAsia="仿宋" w:cs="仿宋"/>
          <w:b w:val="0"/>
          <w:bCs w:val="0"/>
          <w:color w:val="auto"/>
          <w:sz w:val="28"/>
          <w:szCs w:val="28"/>
          <w:highlight w:val="none"/>
          <w:u w:val="single"/>
        </w:rPr>
        <w:t xml:space="preserve">  </w:t>
      </w:r>
      <w:r>
        <w:rPr>
          <w:rFonts w:hint="eastAsia" w:ascii="仿宋" w:hAnsi="仿宋" w:eastAsia="仿宋" w:cs="仿宋"/>
          <w:b w:val="0"/>
          <w:bCs w:val="0"/>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u w:val="single"/>
        </w:rPr>
        <w:t xml:space="preserve"> </w:t>
      </w:r>
    </w:p>
    <w:p w14:paraId="3161311B">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2、合同任意一方如需变更上述送达地址及联络方式的应当提前以书面方式通知对方。</w:t>
      </w:r>
    </w:p>
    <w:p w14:paraId="69F3BEEF">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3、合同一方当事人或法院、仲裁等机关，发送的各类文件、文书，均可按上述送达地址，直接邮寄。</w:t>
      </w:r>
    </w:p>
    <w:p w14:paraId="42B493AD">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合同任意一方当事人提供或者确认的送达地址不准确、送达地址变更后未及时依程序告知对方和拒绝签收等原因，导致合同一方当事人或法院、仲裁等机关发送的各类文件、文书，未能被当事人实际接收的，以邮寄文书投递之日起三日或者相关邮寄文件退回之日视为送达之日（以先到日期为准）。</w:t>
      </w:r>
    </w:p>
    <w:p w14:paraId="573C3C73">
      <w:pPr>
        <w:keepNext w:val="0"/>
        <w:pageBreakBefore w:val="0"/>
        <w:numPr>
          <w:ilvl w:val="0"/>
          <w:numId w:val="0"/>
        </w:numPr>
        <w:kinsoku/>
        <w:overflowPunct/>
        <w:topLinePunct w:val="0"/>
        <w:autoSpaceDE/>
        <w:autoSpaceDN/>
        <w:bidi w:val="0"/>
        <w:spacing w:line="480" w:lineRule="exact"/>
        <w:ind w:left="0" w:leftChars="0" w:right="0" w:rightChars="0" w:firstLine="640" w:firstLineChars="200"/>
        <w:jc w:val="left"/>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十、争议解决及法律适用</w:t>
      </w:r>
    </w:p>
    <w:p w14:paraId="671C4887">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如甲乙双方因本合同的履行产生争议，双方应友好协商，妥善处理，协商方式议案需以书面为准。协商不成的，甲乙双方任何一方均可向福州仲裁委员会申请仲裁。</w:t>
      </w:r>
    </w:p>
    <w:p w14:paraId="41D122D8">
      <w:pPr>
        <w:keepNext w:val="0"/>
        <w:pageBreakBefore w:val="0"/>
        <w:numPr>
          <w:ilvl w:val="0"/>
          <w:numId w:val="0"/>
        </w:numPr>
        <w:kinsoku/>
        <w:overflowPunct/>
        <w:topLinePunct w:val="0"/>
        <w:autoSpaceDE/>
        <w:autoSpaceDN/>
        <w:bidi w:val="0"/>
        <w:spacing w:line="480" w:lineRule="exact"/>
        <w:ind w:left="0" w:leftChars="0" w:right="0" w:rightChars="0" w:firstLine="640" w:firstLineChars="200"/>
        <w:jc w:val="left"/>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十一、合同生效及其他</w:t>
      </w:r>
    </w:p>
    <w:p w14:paraId="7070BDE1">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1.本合同如有未尽事宜，双方可以协商解决并签订书面补充合同。</w:t>
      </w:r>
    </w:p>
    <w:p w14:paraId="3E5C77BA">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kern w:val="2"/>
          <w:sz w:val="28"/>
          <w:szCs w:val="28"/>
          <w:highlight w:val="none"/>
        </w:rPr>
        <w:t>本合同经甲、乙双方</w:t>
      </w:r>
      <w:r>
        <w:rPr>
          <w:rFonts w:hint="eastAsia" w:ascii="仿宋" w:hAnsi="仿宋" w:eastAsia="仿宋" w:cs="仿宋"/>
          <w:color w:val="auto"/>
          <w:kern w:val="2"/>
          <w:sz w:val="28"/>
          <w:szCs w:val="28"/>
          <w:highlight w:val="none"/>
          <w:lang w:val="en-US" w:eastAsia="zh-CN"/>
        </w:rPr>
        <w:t>法定代表人或授权代表签署并加盖公章或合同专用章</w:t>
      </w:r>
      <w:r>
        <w:rPr>
          <w:rFonts w:hint="eastAsia" w:ascii="仿宋" w:hAnsi="仿宋" w:eastAsia="仿宋" w:cs="仿宋"/>
          <w:color w:val="auto"/>
          <w:kern w:val="2"/>
          <w:sz w:val="28"/>
          <w:szCs w:val="28"/>
          <w:highlight w:val="none"/>
        </w:rPr>
        <w:t>后即生效</w:t>
      </w:r>
      <w:r>
        <w:rPr>
          <w:rFonts w:hint="eastAsia" w:ascii="仿宋" w:hAnsi="仿宋" w:eastAsia="仿宋" w:cs="仿宋"/>
          <w:color w:val="auto"/>
          <w:kern w:val="2"/>
          <w:sz w:val="28"/>
          <w:szCs w:val="28"/>
          <w:highlight w:val="none"/>
          <w:lang w:eastAsia="zh-CN"/>
        </w:rPr>
        <w:t>，</w:t>
      </w:r>
      <w:r>
        <w:rPr>
          <w:rFonts w:hint="eastAsia" w:ascii="仿宋" w:hAnsi="仿宋" w:eastAsia="仿宋" w:cs="仿宋"/>
          <w:color w:val="auto"/>
          <w:sz w:val="28"/>
          <w:szCs w:val="28"/>
          <w:highlight w:val="none"/>
          <w:lang w:val="en-US" w:eastAsia="zh-CN"/>
        </w:rPr>
        <w:t>自本合同项下所有权利义务履行完毕后终止</w:t>
      </w:r>
      <w:r>
        <w:rPr>
          <w:rFonts w:hint="eastAsia" w:ascii="仿宋" w:hAnsi="仿宋" w:eastAsia="仿宋" w:cs="仿宋"/>
          <w:color w:val="auto"/>
          <w:sz w:val="28"/>
          <w:szCs w:val="28"/>
          <w:highlight w:val="none"/>
        </w:rPr>
        <w:t>。</w:t>
      </w:r>
    </w:p>
    <w:p w14:paraId="12DF7FE6">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3.本合同一式</w:t>
      </w:r>
      <w:r>
        <w:rPr>
          <w:rFonts w:hint="eastAsia" w:ascii="仿宋" w:hAnsi="仿宋" w:eastAsia="仿宋" w:cs="仿宋"/>
          <w:color w:val="auto"/>
          <w:sz w:val="28"/>
          <w:szCs w:val="28"/>
          <w:highlight w:val="none"/>
          <w:lang w:val="en-US" w:eastAsia="zh-CN"/>
        </w:rPr>
        <w:t>陆</w:t>
      </w:r>
      <w:r>
        <w:rPr>
          <w:rFonts w:hint="eastAsia" w:ascii="仿宋" w:hAnsi="仿宋" w:eastAsia="仿宋" w:cs="仿宋"/>
          <w:color w:val="auto"/>
          <w:sz w:val="28"/>
          <w:szCs w:val="28"/>
          <w:highlight w:val="none"/>
        </w:rPr>
        <w:t>份，</w:t>
      </w:r>
      <w:r>
        <w:rPr>
          <w:rFonts w:hint="eastAsia" w:ascii="仿宋" w:hAnsi="仿宋" w:eastAsia="仿宋" w:cs="仿宋"/>
          <w:color w:val="auto"/>
          <w:kern w:val="2"/>
          <w:sz w:val="28"/>
          <w:szCs w:val="28"/>
          <w:highlight w:val="none"/>
        </w:rPr>
        <w:t>甲乙双方各执</w:t>
      </w:r>
      <w:r>
        <w:rPr>
          <w:rFonts w:hint="eastAsia" w:ascii="仿宋" w:hAnsi="仿宋" w:eastAsia="仿宋" w:cs="仿宋"/>
          <w:color w:val="auto"/>
          <w:kern w:val="2"/>
          <w:sz w:val="28"/>
          <w:szCs w:val="28"/>
          <w:highlight w:val="none"/>
          <w:lang w:val="en-US" w:eastAsia="zh-CN"/>
        </w:rPr>
        <w:t>叁</w:t>
      </w:r>
      <w:r>
        <w:rPr>
          <w:rFonts w:hint="eastAsia" w:ascii="仿宋" w:hAnsi="仿宋" w:eastAsia="仿宋" w:cs="仿宋"/>
          <w:color w:val="auto"/>
          <w:kern w:val="2"/>
          <w:sz w:val="28"/>
          <w:szCs w:val="28"/>
          <w:highlight w:val="none"/>
        </w:rPr>
        <w:t>份</w:t>
      </w:r>
      <w:r>
        <w:rPr>
          <w:rFonts w:hint="eastAsia" w:ascii="仿宋" w:hAnsi="仿宋" w:eastAsia="仿宋" w:cs="仿宋"/>
          <w:color w:val="auto"/>
          <w:sz w:val="28"/>
          <w:szCs w:val="28"/>
          <w:highlight w:val="none"/>
        </w:rPr>
        <w:t>。</w:t>
      </w:r>
    </w:p>
    <w:p w14:paraId="7398AEC8">
      <w:pPr>
        <w:keepNext w:val="0"/>
        <w:pageBreakBefore w:val="0"/>
        <w:numPr>
          <w:ilvl w:val="0"/>
          <w:numId w:val="0"/>
        </w:numPr>
        <w:kinsoku/>
        <w:overflowPunct/>
        <w:topLinePunct w:val="0"/>
        <w:autoSpaceDE/>
        <w:autoSpaceDN/>
        <w:bidi w:val="0"/>
        <w:spacing w:line="480" w:lineRule="exact"/>
        <w:ind w:left="0" w:leftChars="0" w:right="0" w:rightChars="0" w:firstLine="640" w:firstLineChars="200"/>
        <w:jc w:val="left"/>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十二、附件</w:t>
      </w:r>
    </w:p>
    <w:p w14:paraId="65C409F3">
      <w:pPr>
        <w:keepNext w:val="0"/>
        <w:keepLines w:val="0"/>
        <w:pageBreakBefore w:val="0"/>
        <w:kinsoku/>
        <w:wordWrap/>
        <w:overflowPunct/>
        <w:topLinePunct w:val="0"/>
        <w:autoSpaceDE/>
        <w:autoSpaceDN/>
        <w:bidi w:val="0"/>
        <w:spacing w:line="480" w:lineRule="exact"/>
        <w:ind w:left="0" w:right="0" w:firstLine="560" w:firstLineChars="200"/>
        <w:jc w:val="left"/>
        <w:rPr>
          <w:rFonts w:hint="eastAsia" w:ascii="仿宋" w:hAnsi="仿宋" w:eastAsia="仿宋" w:cs="仿宋"/>
          <w:b w:val="0"/>
          <w:bCs w:val="0"/>
          <w:snapToGrid/>
          <w:kern w:val="2"/>
          <w:sz w:val="28"/>
          <w:szCs w:val="28"/>
          <w:highlight w:val="none"/>
          <w:lang w:eastAsia="zh-CN"/>
        </w:rPr>
      </w:pPr>
      <w:r>
        <w:rPr>
          <w:rFonts w:hint="eastAsia" w:ascii="仿宋" w:hAnsi="仿宋" w:eastAsia="仿宋" w:cs="仿宋"/>
          <w:sz w:val="28"/>
          <w:szCs w:val="28"/>
          <w:highlight w:val="none"/>
          <w:lang w:val="en-US" w:eastAsia="zh-CN"/>
        </w:rPr>
        <w:t>1.</w:t>
      </w:r>
      <w:r>
        <w:rPr>
          <w:rFonts w:hint="eastAsia" w:ascii="仿宋" w:hAnsi="仿宋" w:eastAsia="仿宋" w:cs="仿宋"/>
          <w:b w:val="0"/>
          <w:bCs w:val="0"/>
          <w:snapToGrid/>
          <w:kern w:val="2"/>
          <w:sz w:val="28"/>
          <w:szCs w:val="28"/>
          <w:highlight w:val="none"/>
          <w:lang w:eastAsia="zh-CN"/>
        </w:rPr>
        <w:t>廉政责任协议</w:t>
      </w:r>
    </w:p>
    <w:p w14:paraId="1BCA8F13">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lang w:val="en-US" w:eastAsia="zh-CN"/>
        </w:rPr>
      </w:pPr>
      <w:r>
        <w:rPr>
          <w:rFonts w:hint="eastAsia" w:ascii="仿宋" w:hAnsi="仿宋" w:eastAsia="仿宋" w:cs="仿宋"/>
          <w:b w:val="0"/>
          <w:bCs w:val="0"/>
          <w:snapToGrid/>
          <w:kern w:val="2"/>
          <w:sz w:val="28"/>
          <w:szCs w:val="28"/>
          <w:highlight w:val="none"/>
          <w:lang w:val="en-US" w:eastAsia="zh-CN"/>
        </w:rPr>
        <w:t>2.</w:t>
      </w:r>
      <w:r>
        <w:rPr>
          <w:rFonts w:hint="eastAsia" w:ascii="仿宋" w:hAnsi="仿宋" w:eastAsia="仿宋" w:cs="仿宋"/>
          <w:b w:val="0"/>
          <w:bCs w:val="0"/>
          <w:sz w:val="28"/>
          <w:szCs w:val="28"/>
          <w:highlight w:val="none"/>
        </w:rPr>
        <w:t>安全生产管理协议书</w:t>
      </w:r>
    </w:p>
    <w:p w14:paraId="41803510">
      <w:pPr>
        <w:keepNext w:val="0"/>
        <w:pageBreakBefore w:val="0"/>
        <w:numPr>
          <w:ilvl w:val="0"/>
          <w:numId w:val="0"/>
        </w:numPr>
        <w:kinsoku/>
        <w:overflowPunct/>
        <w:topLinePunct w:val="0"/>
        <w:autoSpaceDE/>
        <w:autoSpaceDN/>
        <w:bidi w:val="0"/>
        <w:spacing w:line="480" w:lineRule="exact"/>
        <w:ind w:left="0" w:leftChars="0" w:right="0" w:rightChars="0" w:firstLine="640" w:firstLineChars="200"/>
        <w:jc w:val="left"/>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（以下无正文）</w:t>
      </w:r>
    </w:p>
    <w:p w14:paraId="4AB824CF">
      <w:pPr>
        <w:keepNext w:val="0"/>
        <w:pageBreakBefore w:val="0"/>
        <w:numPr>
          <w:ilvl w:val="0"/>
          <w:numId w:val="0"/>
        </w:numPr>
        <w:kinsoku/>
        <w:overflowPunct/>
        <w:topLinePunct w:val="0"/>
        <w:autoSpaceDE/>
        <w:autoSpaceDN/>
        <w:bidi w:val="0"/>
        <w:spacing w:line="480" w:lineRule="exact"/>
        <w:ind w:left="0" w:leftChars="0" w:right="0" w:rightChars="0" w:firstLine="640" w:firstLineChars="200"/>
        <w:jc w:val="left"/>
        <w:rPr>
          <w:rFonts w:hint="eastAsia" w:ascii="黑体" w:hAnsi="黑体" w:eastAsia="黑体" w:cs="黑体"/>
          <w:b w:val="0"/>
          <w:bCs w:val="0"/>
          <w:color w:val="auto"/>
          <w:kern w:val="2"/>
          <w:sz w:val="32"/>
          <w:szCs w:val="32"/>
          <w:lang w:val="en-US" w:eastAsia="zh-CN" w:bidi="ar-SA"/>
        </w:rPr>
      </w:pPr>
    </w:p>
    <w:p w14:paraId="1BAB1579">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甲方（盖章）：福州市水务文化旅游有限公司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乙方（盖章）： </w:t>
      </w:r>
    </w:p>
    <w:p w14:paraId="34AA98E8">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法定代表人或授权人：                     法定代表人或授权人：</w:t>
      </w:r>
    </w:p>
    <w:p w14:paraId="5606D87C">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联系人：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联系人                   </w:t>
      </w:r>
    </w:p>
    <w:p w14:paraId="3BF2DA6F">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 xml:space="preserve">电话：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电话：</w:t>
      </w:r>
    </w:p>
    <w:p w14:paraId="776F86F5">
      <w:pPr>
        <w:keepNext w:val="0"/>
        <w:pageBreakBefore w:val="0"/>
        <w:kinsoku/>
        <w:overflowPunct/>
        <w:topLinePunct w:val="0"/>
        <w:autoSpaceDE/>
        <w:autoSpaceDN/>
        <w:bidi w:val="0"/>
        <w:spacing w:line="480" w:lineRule="exact"/>
        <w:ind w:left="0" w:right="0"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年 月 日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年  月  日</w:t>
      </w:r>
    </w:p>
    <w:p w14:paraId="5E0F03A0">
      <w:pPr>
        <w:keepNext w:val="0"/>
        <w:keepLines w:val="0"/>
        <w:pageBreakBefore w:val="0"/>
        <w:overflowPunct/>
        <w:topLinePunct w:val="0"/>
        <w:autoSpaceDE/>
        <w:autoSpaceDN/>
        <w:bidi w:val="0"/>
        <w:snapToGrid/>
        <w:spacing w:line="480" w:lineRule="exact"/>
        <w:ind w:left="0" w:right="0" w:firstLine="480" w:firstLineChars="200"/>
        <w:jc w:val="left"/>
        <w:rPr>
          <w:rFonts w:hint="default" w:ascii="黑体" w:hAnsi="黑体" w:eastAsia="黑体" w:cs="黑体"/>
          <w:color w:val="auto"/>
          <w:kern w:val="2"/>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br w:type="page"/>
      </w:r>
      <w:r>
        <w:rPr>
          <w:rFonts w:hint="eastAsia" w:ascii="黑体" w:hAnsi="黑体" w:eastAsia="黑体" w:cs="黑体"/>
          <w:color w:val="auto"/>
          <w:kern w:val="2"/>
          <w:sz w:val="24"/>
          <w:szCs w:val="24"/>
          <w:highlight w:val="none"/>
          <w:lang w:eastAsia="zh-CN"/>
        </w:rPr>
        <w:t>附件</w:t>
      </w:r>
      <w:r>
        <w:rPr>
          <w:rFonts w:hint="eastAsia" w:ascii="黑体" w:hAnsi="黑体" w:eastAsia="黑体" w:cs="黑体"/>
          <w:color w:val="auto"/>
          <w:kern w:val="2"/>
          <w:sz w:val="24"/>
          <w:szCs w:val="24"/>
          <w:highlight w:val="none"/>
          <w:lang w:val="en-US" w:eastAsia="zh-CN"/>
        </w:rPr>
        <w:t>1：</w:t>
      </w:r>
    </w:p>
    <w:p w14:paraId="09430067">
      <w:pPr>
        <w:keepNext w:val="0"/>
        <w:keepLines w:val="0"/>
        <w:pageBreakBefore w:val="0"/>
        <w:widowControl/>
        <w:kinsoku/>
        <w:wordWrap/>
        <w:overflowPunct/>
        <w:topLinePunct w:val="0"/>
        <w:autoSpaceDE/>
        <w:autoSpaceDN/>
        <w:bidi w:val="0"/>
        <w:adjustRightInd/>
        <w:snapToGrid/>
        <w:spacing w:line="480" w:lineRule="exact"/>
        <w:ind w:left="0" w:right="0" w:firstLine="800" w:firstLineChars="200"/>
        <w:jc w:val="center"/>
        <w:textAlignment w:val="auto"/>
        <w:rPr>
          <w:rFonts w:hint="eastAsia" w:ascii="方正小标宋_GBK" w:hAnsi="方正小标宋_GBK" w:eastAsia="方正小标宋_GBK" w:cs="方正小标宋_GBK"/>
          <w:b w:val="0"/>
          <w:bCs w:val="0"/>
          <w:snapToGrid w:val="0"/>
          <w:color w:val="auto"/>
          <w:kern w:val="0"/>
          <w:sz w:val="40"/>
          <w:szCs w:val="40"/>
          <w:highlight w:val="none"/>
          <w:lang w:eastAsia="zh-CN"/>
        </w:rPr>
      </w:pPr>
      <w:r>
        <w:rPr>
          <w:rFonts w:hint="eastAsia" w:ascii="方正小标宋_GBK" w:hAnsi="方正小标宋_GBK" w:eastAsia="方正小标宋_GBK" w:cs="方正小标宋_GBK"/>
          <w:b w:val="0"/>
          <w:bCs w:val="0"/>
          <w:snapToGrid w:val="0"/>
          <w:color w:val="auto"/>
          <w:kern w:val="0"/>
          <w:sz w:val="40"/>
          <w:szCs w:val="40"/>
          <w:highlight w:val="none"/>
          <w:lang w:eastAsia="zh-CN"/>
        </w:rPr>
        <w:t>廉政责任协议</w:t>
      </w:r>
    </w:p>
    <w:p w14:paraId="4DC9764D">
      <w:pPr>
        <w:keepNext w:val="0"/>
        <w:keepLines w:val="0"/>
        <w:pageBreakBefore w:val="0"/>
        <w:widowControl/>
        <w:kinsoku/>
        <w:wordWrap/>
        <w:overflowPunct/>
        <w:topLinePunct w:val="0"/>
        <w:autoSpaceDE/>
        <w:autoSpaceDN/>
        <w:bidi w:val="0"/>
        <w:adjustRightInd/>
        <w:snapToGrid/>
        <w:spacing w:line="480" w:lineRule="exact"/>
        <w:ind w:left="0" w:right="0" w:firstLine="560" w:firstLineChars="200"/>
        <w:jc w:val="left"/>
        <w:textAlignment w:val="auto"/>
        <w:rPr>
          <w:rFonts w:hint="eastAsia" w:ascii="仿宋" w:hAnsi="仿宋" w:eastAsia="仿宋" w:cs="仿宋"/>
          <w:b w:val="0"/>
          <w:bCs/>
          <w:snapToGrid w:val="0"/>
          <w:color w:val="auto"/>
          <w:kern w:val="0"/>
          <w:sz w:val="28"/>
          <w:szCs w:val="28"/>
          <w:highlight w:val="none"/>
          <w:lang w:val="en-US" w:eastAsia="zh-CN"/>
        </w:rPr>
      </w:pPr>
      <w:r>
        <w:rPr>
          <w:rFonts w:hint="eastAsia" w:ascii="仿宋" w:hAnsi="仿宋" w:eastAsia="仿宋" w:cs="仿宋"/>
          <w:b w:val="0"/>
          <w:bCs/>
          <w:snapToGrid w:val="0"/>
          <w:color w:val="auto"/>
          <w:kern w:val="0"/>
          <w:sz w:val="28"/>
          <w:szCs w:val="28"/>
          <w:highlight w:val="none"/>
          <w:lang w:val="en-US" w:eastAsia="zh-CN"/>
        </w:rPr>
        <w:t>为保证甲乙双方合法合规开展业务合作，做好廉政风险防控，经双方友好协商，签署本协议：</w:t>
      </w:r>
    </w:p>
    <w:p w14:paraId="48965A78">
      <w:pPr>
        <w:keepNext w:val="0"/>
        <w:keepLines w:val="0"/>
        <w:pageBreakBefore w:val="0"/>
        <w:widowControl/>
        <w:kinsoku/>
        <w:wordWrap/>
        <w:overflowPunct/>
        <w:topLinePunct w:val="0"/>
        <w:autoSpaceDE/>
        <w:autoSpaceDN/>
        <w:bidi w:val="0"/>
        <w:adjustRightInd/>
        <w:snapToGrid/>
        <w:spacing w:line="480" w:lineRule="exact"/>
        <w:ind w:left="0" w:right="0" w:firstLine="562" w:firstLineChars="200"/>
        <w:jc w:val="left"/>
        <w:textAlignment w:val="auto"/>
        <w:rPr>
          <w:rFonts w:hint="eastAsia" w:ascii="仿宋" w:hAnsi="仿宋" w:eastAsia="仿宋" w:cs="仿宋"/>
          <w:b/>
          <w:snapToGrid w:val="0"/>
          <w:color w:val="auto"/>
          <w:kern w:val="0"/>
          <w:sz w:val="28"/>
          <w:szCs w:val="28"/>
          <w:highlight w:val="none"/>
          <w:lang w:val="en-US" w:eastAsia="zh-CN"/>
        </w:rPr>
      </w:pPr>
      <w:r>
        <w:rPr>
          <w:rFonts w:hint="eastAsia" w:ascii="仿宋" w:hAnsi="仿宋" w:eastAsia="仿宋" w:cs="仿宋"/>
          <w:b/>
          <w:snapToGrid w:val="0"/>
          <w:color w:val="auto"/>
          <w:kern w:val="0"/>
          <w:sz w:val="28"/>
          <w:szCs w:val="28"/>
          <w:highlight w:val="none"/>
          <w:lang w:val="en-US" w:eastAsia="zh-CN"/>
        </w:rPr>
        <w:t>一、甲方廉政责任</w:t>
      </w:r>
    </w:p>
    <w:p w14:paraId="366304D4">
      <w:pPr>
        <w:keepNext w:val="0"/>
        <w:keepLines w:val="0"/>
        <w:pageBreakBefore w:val="0"/>
        <w:widowControl/>
        <w:numPr>
          <w:ilvl w:val="0"/>
          <w:numId w:val="1"/>
        </w:numPr>
        <w:kinsoku/>
        <w:wordWrap/>
        <w:overflowPunct/>
        <w:topLinePunct w:val="0"/>
        <w:autoSpaceDE/>
        <w:autoSpaceDN/>
        <w:bidi w:val="0"/>
        <w:adjustRightInd/>
        <w:snapToGrid/>
        <w:spacing w:line="480" w:lineRule="exact"/>
        <w:ind w:left="0" w:leftChars="0" w:right="0" w:firstLine="560" w:firstLineChars="200"/>
        <w:jc w:val="left"/>
        <w:textAlignment w:val="auto"/>
        <w:rPr>
          <w:rFonts w:hint="eastAsia" w:ascii="仿宋" w:hAnsi="仿宋" w:eastAsia="仿宋" w:cs="仿宋"/>
          <w:snapToGrid w:val="0"/>
          <w:color w:val="auto"/>
          <w:kern w:val="0"/>
          <w:sz w:val="28"/>
          <w:szCs w:val="28"/>
          <w:highlight w:val="none"/>
          <w:lang w:val="en-US" w:eastAsia="zh-CN"/>
        </w:rPr>
      </w:pPr>
      <w:r>
        <w:rPr>
          <w:rFonts w:hint="eastAsia" w:ascii="仿宋" w:hAnsi="仿宋" w:eastAsia="仿宋" w:cs="仿宋"/>
          <w:snapToGrid w:val="0"/>
          <w:color w:val="auto"/>
          <w:kern w:val="0"/>
          <w:sz w:val="28"/>
          <w:szCs w:val="28"/>
          <w:highlight w:val="none"/>
          <w:lang w:val="en-US" w:eastAsia="zh-CN"/>
        </w:rPr>
        <w:t>甲方（含其工作人员及其亲属，下同）不得以任何理由或任何形式索要或收受各种名义的回扣、手续费等好处费。</w:t>
      </w:r>
    </w:p>
    <w:p w14:paraId="4647D034">
      <w:pPr>
        <w:keepNext w:val="0"/>
        <w:keepLines w:val="0"/>
        <w:pageBreakBefore w:val="0"/>
        <w:widowControl/>
        <w:numPr>
          <w:ilvl w:val="0"/>
          <w:numId w:val="1"/>
        </w:numPr>
        <w:kinsoku/>
        <w:wordWrap/>
        <w:overflowPunct/>
        <w:topLinePunct w:val="0"/>
        <w:autoSpaceDE/>
        <w:autoSpaceDN/>
        <w:bidi w:val="0"/>
        <w:adjustRightInd/>
        <w:snapToGrid/>
        <w:spacing w:line="480" w:lineRule="exact"/>
        <w:ind w:left="0" w:leftChars="0" w:right="0" w:firstLine="560" w:firstLineChars="200"/>
        <w:jc w:val="left"/>
        <w:textAlignment w:val="auto"/>
        <w:rPr>
          <w:rFonts w:hint="eastAsia" w:ascii="仿宋" w:hAnsi="仿宋" w:eastAsia="仿宋" w:cs="仿宋"/>
          <w:snapToGrid w:val="0"/>
          <w:color w:val="auto"/>
          <w:kern w:val="0"/>
          <w:sz w:val="28"/>
          <w:szCs w:val="28"/>
          <w:highlight w:val="none"/>
          <w:lang w:eastAsia="zh-CN"/>
        </w:rPr>
      </w:pPr>
      <w:r>
        <w:rPr>
          <w:rFonts w:hint="eastAsia" w:ascii="仿宋" w:hAnsi="仿宋" w:eastAsia="仿宋" w:cs="仿宋"/>
          <w:snapToGrid w:val="0"/>
          <w:color w:val="auto"/>
          <w:kern w:val="0"/>
          <w:sz w:val="28"/>
          <w:szCs w:val="28"/>
          <w:highlight w:val="none"/>
          <w:lang w:val="en-US" w:eastAsia="zh-CN"/>
        </w:rPr>
        <w:t>甲方不得索要或收受乙方（含其工作人员及其亲属，下同）的馈赠礼品</w:t>
      </w:r>
      <w:r>
        <w:rPr>
          <w:rFonts w:hint="eastAsia" w:ascii="仿宋" w:hAnsi="仿宋" w:eastAsia="仿宋" w:cs="仿宋"/>
          <w:snapToGrid w:val="0"/>
          <w:color w:val="auto"/>
          <w:kern w:val="0"/>
          <w:sz w:val="28"/>
          <w:szCs w:val="28"/>
          <w:highlight w:val="none"/>
        </w:rPr>
        <w:t>（包括但不限于</w:t>
      </w:r>
      <w:r>
        <w:rPr>
          <w:rFonts w:hint="eastAsia" w:ascii="仿宋" w:hAnsi="仿宋" w:eastAsia="仿宋" w:cs="仿宋"/>
          <w:snapToGrid w:val="0"/>
          <w:color w:val="auto"/>
          <w:kern w:val="0"/>
          <w:sz w:val="28"/>
          <w:szCs w:val="28"/>
          <w:highlight w:val="none"/>
          <w:lang w:val="en-US" w:eastAsia="zh-CN"/>
        </w:rPr>
        <w:t>实物</w:t>
      </w:r>
      <w:r>
        <w:rPr>
          <w:rFonts w:hint="eastAsia" w:ascii="仿宋" w:hAnsi="仿宋" w:eastAsia="仿宋" w:cs="仿宋"/>
          <w:snapToGrid w:val="0"/>
          <w:color w:val="auto"/>
          <w:kern w:val="0"/>
          <w:sz w:val="28"/>
          <w:szCs w:val="28"/>
          <w:highlight w:val="none"/>
          <w:lang w:eastAsia="zh-CN"/>
        </w:rPr>
        <w:t>、礼金</w:t>
      </w:r>
      <w:r>
        <w:rPr>
          <w:rFonts w:hint="eastAsia" w:ascii="仿宋" w:hAnsi="仿宋" w:eastAsia="仿宋" w:cs="仿宋"/>
          <w:snapToGrid w:val="0"/>
          <w:color w:val="auto"/>
          <w:kern w:val="0"/>
          <w:sz w:val="28"/>
          <w:szCs w:val="28"/>
          <w:highlight w:val="none"/>
        </w:rPr>
        <w:t>、有价证券、购物卡等</w:t>
      </w:r>
      <w:r>
        <w:rPr>
          <w:rFonts w:hint="eastAsia" w:ascii="仿宋" w:hAnsi="仿宋" w:eastAsia="仿宋" w:cs="仿宋"/>
          <w:snapToGrid w:val="0"/>
          <w:color w:val="auto"/>
          <w:kern w:val="0"/>
          <w:sz w:val="28"/>
          <w:szCs w:val="28"/>
          <w:highlight w:val="none"/>
          <w:lang w:eastAsia="zh-CN"/>
        </w:rPr>
        <w:t>，下同</w:t>
      </w:r>
      <w:r>
        <w:rPr>
          <w:rFonts w:hint="eastAsia" w:ascii="仿宋" w:hAnsi="仿宋" w:eastAsia="仿宋" w:cs="仿宋"/>
          <w:snapToGrid w:val="0"/>
          <w:color w:val="auto"/>
          <w:kern w:val="0"/>
          <w:sz w:val="28"/>
          <w:szCs w:val="28"/>
          <w:highlight w:val="none"/>
        </w:rPr>
        <w:t>）</w:t>
      </w:r>
      <w:r>
        <w:rPr>
          <w:rFonts w:hint="eastAsia" w:ascii="仿宋" w:hAnsi="仿宋" w:eastAsia="仿宋" w:cs="仿宋"/>
          <w:snapToGrid w:val="0"/>
          <w:color w:val="auto"/>
          <w:kern w:val="0"/>
          <w:sz w:val="28"/>
          <w:szCs w:val="28"/>
          <w:highlight w:val="none"/>
          <w:lang w:eastAsia="zh-CN"/>
        </w:rPr>
        <w:t>，不得向乙方报销应由甲方支付的各种费用</w:t>
      </w:r>
      <w:r>
        <w:rPr>
          <w:rFonts w:hint="eastAsia" w:ascii="仿宋" w:hAnsi="仿宋" w:eastAsia="仿宋" w:cs="仿宋"/>
          <w:snapToGrid w:val="0"/>
          <w:color w:val="auto"/>
          <w:kern w:val="0"/>
          <w:sz w:val="28"/>
          <w:szCs w:val="28"/>
          <w:highlight w:val="none"/>
        </w:rPr>
        <w:t>（包括但不限于住宅装修、婚丧嫁娶、旅游、食宿、购物、学费等</w:t>
      </w:r>
      <w:r>
        <w:rPr>
          <w:rFonts w:hint="eastAsia" w:ascii="仿宋" w:hAnsi="仿宋" w:eastAsia="仿宋" w:cs="仿宋"/>
          <w:snapToGrid w:val="0"/>
          <w:color w:val="auto"/>
          <w:kern w:val="0"/>
          <w:sz w:val="28"/>
          <w:szCs w:val="28"/>
          <w:highlight w:val="none"/>
          <w:lang w:eastAsia="zh-CN"/>
        </w:rPr>
        <w:t>，下同</w:t>
      </w:r>
      <w:r>
        <w:rPr>
          <w:rFonts w:hint="eastAsia" w:ascii="仿宋" w:hAnsi="仿宋" w:eastAsia="仿宋" w:cs="仿宋"/>
          <w:snapToGrid w:val="0"/>
          <w:color w:val="auto"/>
          <w:kern w:val="0"/>
          <w:sz w:val="28"/>
          <w:szCs w:val="28"/>
          <w:highlight w:val="none"/>
        </w:rPr>
        <w:t>）</w:t>
      </w:r>
      <w:r>
        <w:rPr>
          <w:rFonts w:hint="eastAsia" w:ascii="仿宋" w:hAnsi="仿宋" w:eastAsia="仿宋" w:cs="仿宋"/>
          <w:snapToGrid w:val="0"/>
          <w:color w:val="auto"/>
          <w:kern w:val="0"/>
          <w:sz w:val="28"/>
          <w:szCs w:val="28"/>
          <w:highlight w:val="none"/>
          <w:lang w:eastAsia="zh-CN"/>
        </w:rPr>
        <w:t>。</w:t>
      </w:r>
    </w:p>
    <w:p w14:paraId="4BEA5749">
      <w:pPr>
        <w:keepNext w:val="0"/>
        <w:keepLines w:val="0"/>
        <w:pageBreakBefore w:val="0"/>
        <w:widowControl/>
        <w:numPr>
          <w:ilvl w:val="0"/>
          <w:numId w:val="1"/>
        </w:numPr>
        <w:kinsoku/>
        <w:wordWrap/>
        <w:overflowPunct/>
        <w:topLinePunct w:val="0"/>
        <w:autoSpaceDE/>
        <w:autoSpaceDN/>
        <w:bidi w:val="0"/>
        <w:adjustRightInd/>
        <w:snapToGrid/>
        <w:spacing w:line="480" w:lineRule="exact"/>
        <w:ind w:left="0" w:leftChars="0" w:right="0" w:firstLine="560" w:firstLineChars="200"/>
        <w:jc w:val="left"/>
        <w:textAlignment w:val="auto"/>
        <w:rPr>
          <w:rFonts w:hint="eastAsia" w:ascii="仿宋" w:hAnsi="仿宋" w:eastAsia="仿宋" w:cs="仿宋"/>
          <w:snapToGrid w:val="0"/>
          <w:color w:val="auto"/>
          <w:kern w:val="0"/>
          <w:sz w:val="28"/>
          <w:szCs w:val="28"/>
          <w:highlight w:val="none"/>
          <w:lang w:eastAsia="zh-CN"/>
        </w:rPr>
      </w:pPr>
      <w:r>
        <w:rPr>
          <w:rFonts w:hint="eastAsia" w:ascii="仿宋" w:hAnsi="仿宋" w:eastAsia="仿宋" w:cs="仿宋"/>
          <w:snapToGrid w:val="0"/>
          <w:color w:val="auto"/>
          <w:kern w:val="0"/>
          <w:sz w:val="28"/>
          <w:szCs w:val="28"/>
          <w:highlight w:val="none"/>
          <w:lang w:val="en-US" w:eastAsia="zh-CN"/>
        </w:rPr>
        <w:t>甲方不得擅自参加正常业务接待以外的宴请</w:t>
      </w:r>
      <w:r>
        <w:rPr>
          <w:rFonts w:hint="eastAsia" w:ascii="仿宋" w:hAnsi="仿宋" w:eastAsia="仿宋" w:cs="仿宋"/>
          <w:snapToGrid w:val="0"/>
          <w:color w:val="auto"/>
          <w:kern w:val="0"/>
          <w:sz w:val="28"/>
          <w:szCs w:val="28"/>
          <w:highlight w:val="none"/>
        </w:rPr>
        <w:t>、旅游</w:t>
      </w:r>
      <w:r>
        <w:rPr>
          <w:rFonts w:hint="eastAsia" w:ascii="仿宋" w:hAnsi="仿宋" w:eastAsia="仿宋" w:cs="仿宋"/>
          <w:snapToGrid w:val="0"/>
          <w:color w:val="auto"/>
          <w:kern w:val="0"/>
          <w:sz w:val="28"/>
          <w:szCs w:val="28"/>
          <w:highlight w:val="none"/>
          <w:lang w:eastAsia="zh-CN"/>
        </w:rPr>
        <w:t>、</w:t>
      </w:r>
      <w:r>
        <w:rPr>
          <w:rFonts w:hint="eastAsia" w:ascii="仿宋" w:hAnsi="仿宋" w:eastAsia="仿宋" w:cs="仿宋"/>
          <w:snapToGrid w:val="0"/>
          <w:color w:val="auto"/>
          <w:kern w:val="0"/>
          <w:sz w:val="28"/>
          <w:szCs w:val="28"/>
          <w:highlight w:val="none"/>
        </w:rPr>
        <w:t>娱乐</w:t>
      </w:r>
      <w:r>
        <w:rPr>
          <w:rFonts w:hint="eastAsia" w:ascii="仿宋" w:hAnsi="仿宋" w:eastAsia="仿宋" w:cs="仿宋"/>
          <w:snapToGrid w:val="0"/>
          <w:color w:val="auto"/>
          <w:kern w:val="0"/>
          <w:sz w:val="28"/>
          <w:szCs w:val="28"/>
          <w:highlight w:val="none"/>
          <w:lang w:eastAsia="zh-CN"/>
        </w:rPr>
        <w:t>等活动。</w:t>
      </w:r>
    </w:p>
    <w:p w14:paraId="55D1E7B8">
      <w:pPr>
        <w:keepNext w:val="0"/>
        <w:keepLines w:val="0"/>
        <w:pageBreakBefore w:val="0"/>
        <w:widowControl/>
        <w:numPr>
          <w:ilvl w:val="0"/>
          <w:numId w:val="1"/>
        </w:numPr>
        <w:kinsoku/>
        <w:wordWrap/>
        <w:overflowPunct/>
        <w:topLinePunct w:val="0"/>
        <w:autoSpaceDE/>
        <w:autoSpaceDN/>
        <w:bidi w:val="0"/>
        <w:adjustRightInd/>
        <w:snapToGrid/>
        <w:spacing w:line="480" w:lineRule="exact"/>
        <w:ind w:left="0" w:leftChars="0" w:right="0" w:firstLine="560" w:firstLineChars="200"/>
        <w:jc w:val="left"/>
        <w:textAlignment w:val="auto"/>
        <w:rPr>
          <w:rFonts w:hint="eastAsia" w:ascii="仿宋" w:hAnsi="仿宋" w:eastAsia="仿宋" w:cs="仿宋"/>
          <w:snapToGrid w:val="0"/>
          <w:color w:val="auto"/>
          <w:kern w:val="0"/>
          <w:sz w:val="28"/>
          <w:szCs w:val="28"/>
          <w:highlight w:val="none"/>
          <w:lang w:eastAsia="zh-CN"/>
        </w:rPr>
      </w:pPr>
      <w:r>
        <w:rPr>
          <w:rFonts w:hint="eastAsia" w:ascii="仿宋" w:hAnsi="仿宋" w:eastAsia="仿宋" w:cs="仿宋"/>
          <w:snapToGrid w:val="0"/>
          <w:color w:val="auto"/>
          <w:kern w:val="0"/>
          <w:sz w:val="28"/>
          <w:szCs w:val="28"/>
          <w:highlight w:val="none"/>
          <w:lang w:eastAsia="zh-CN"/>
        </w:rPr>
        <w:t>甲方不得向乙方介绍其亲属或亲友从事乙方安排的工作，不得介绍、指定或限定物资乙方、物资设备等。</w:t>
      </w:r>
    </w:p>
    <w:p w14:paraId="4E160F8C">
      <w:pPr>
        <w:keepNext w:val="0"/>
        <w:keepLines w:val="0"/>
        <w:pageBreakBefore w:val="0"/>
        <w:widowControl/>
        <w:numPr>
          <w:ilvl w:val="0"/>
          <w:numId w:val="1"/>
        </w:numPr>
        <w:kinsoku/>
        <w:wordWrap/>
        <w:overflowPunct/>
        <w:topLinePunct w:val="0"/>
        <w:autoSpaceDE/>
        <w:autoSpaceDN/>
        <w:bidi w:val="0"/>
        <w:adjustRightInd/>
        <w:snapToGrid/>
        <w:spacing w:line="480" w:lineRule="exact"/>
        <w:ind w:left="0" w:leftChars="0" w:right="0" w:firstLine="560" w:firstLineChars="200"/>
        <w:jc w:val="left"/>
        <w:textAlignment w:val="auto"/>
        <w:rPr>
          <w:rFonts w:hint="eastAsia" w:ascii="仿宋" w:hAnsi="仿宋" w:eastAsia="仿宋" w:cs="仿宋"/>
          <w:snapToGrid w:val="0"/>
          <w:color w:val="auto"/>
          <w:kern w:val="0"/>
          <w:sz w:val="28"/>
          <w:szCs w:val="28"/>
          <w:highlight w:val="none"/>
          <w:lang w:val="en-US" w:eastAsia="zh-CN"/>
        </w:rPr>
      </w:pPr>
      <w:r>
        <w:rPr>
          <w:rFonts w:hint="eastAsia" w:ascii="仿宋" w:hAnsi="仿宋" w:eastAsia="仿宋" w:cs="仿宋"/>
          <w:snapToGrid w:val="0"/>
          <w:color w:val="auto"/>
          <w:kern w:val="0"/>
          <w:sz w:val="28"/>
          <w:szCs w:val="28"/>
          <w:highlight w:val="none"/>
          <w:lang w:eastAsia="zh-CN"/>
        </w:rPr>
        <w:t>甲方不得与乙方发生其他违反廉洁规定的行为。</w:t>
      </w:r>
    </w:p>
    <w:p w14:paraId="71C017B0">
      <w:pPr>
        <w:keepNext w:val="0"/>
        <w:keepLines w:val="0"/>
        <w:pageBreakBefore w:val="0"/>
        <w:widowControl/>
        <w:kinsoku/>
        <w:wordWrap/>
        <w:overflowPunct/>
        <w:topLinePunct w:val="0"/>
        <w:autoSpaceDE/>
        <w:autoSpaceDN/>
        <w:bidi w:val="0"/>
        <w:adjustRightInd/>
        <w:snapToGrid/>
        <w:spacing w:line="480" w:lineRule="exact"/>
        <w:ind w:left="0" w:right="0" w:firstLine="562" w:firstLineChars="200"/>
        <w:jc w:val="left"/>
        <w:textAlignment w:val="auto"/>
        <w:rPr>
          <w:rFonts w:hint="eastAsia" w:ascii="仿宋" w:hAnsi="仿宋" w:eastAsia="仿宋" w:cs="仿宋"/>
          <w:snapToGrid w:val="0"/>
          <w:color w:val="auto"/>
          <w:kern w:val="0"/>
          <w:sz w:val="28"/>
          <w:szCs w:val="28"/>
          <w:highlight w:val="none"/>
        </w:rPr>
      </w:pPr>
      <w:r>
        <w:rPr>
          <w:rFonts w:hint="eastAsia" w:ascii="仿宋" w:hAnsi="仿宋" w:eastAsia="仿宋" w:cs="仿宋"/>
          <w:b/>
          <w:snapToGrid w:val="0"/>
          <w:color w:val="auto"/>
          <w:kern w:val="0"/>
          <w:sz w:val="28"/>
          <w:szCs w:val="28"/>
          <w:highlight w:val="none"/>
          <w:lang w:val="en-US" w:eastAsia="zh-CN"/>
        </w:rPr>
        <w:t>二、乙方廉政责任</w:t>
      </w:r>
    </w:p>
    <w:p w14:paraId="3F7C264E">
      <w:pPr>
        <w:keepNext w:val="0"/>
        <w:keepLines w:val="0"/>
        <w:pageBreakBefore w:val="0"/>
        <w:widowControl/>
        <w:numPr>
          <w:ilvl w:val="0"/>
          <w:numId w:val="2"/>
        </w:numPr>
        <w:shd w:val="clear" w:color="auto" w:fill="FFFFFF"/>
        <w:kinsoku w:val="0"/>
        <w:wordWrap/>
        <w:overflowPunct/>
        <w:topLinePunct w:val="0"/>
        <w:autoSpaceDE/>
        <w:autoSpaceDN/>
        <w:bidi w:val="0"/>
        <w:adjustRightInd w:val="0"/>
        <w:snapToGrid w:val="0"/>
        <w:spacing w:line="480" w:lineRule="exact"/>
        <w:ind w:left="0" w:right="0" w:firstLine="560" w:firstLineChars="200"/>
        <w:jc w:val="both"/>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rPr>
        <w:t>乙方不得以任何理由</w:t>
      </w:r>
      <w:r>
        <w:rPr>
          <w:rFonts w:hint="eastAsia" w:ascii="仿宋" w:hAnsi="仿宋" w:eastAsia="仿宋" w:cs="仿宋"/>
          <w:snapToGrid w:val="0"/>
          <w:color w:val="auto"/>
          <w:kern w:val="0"/>
          <w:sz w:val="28"/>
          <w:szCs w:val="28"/>
          <w:highlight w:val="none"/>
          <w:lang w:eastAsia="zh-CN"/>
        </w:rPr>
        <w:t>或任何形式</w:t>
      </w:r>
      <w:r>
        <w:rPr>
          <w:rFonts w:hint="eastAsia" w:ascii="仿宋" w:hAnsi="仿宋" w:eastAsia="仿宋" w:cs="仿宋"/>
          <w:snapToGrid w:val="0"/>
          <w:color w:val="auto"/>
          <w:kern w:val="0"/>
          <w:sz w:val="28"/>
          <w:szCs w:val="28"/>
          <w:highlight w:val="none"/>
        </w:rPr>
        <w:t>向甲方馈赠礼品。</w:t>
      </w:r>
    </w:p>
    <w:p w14:paraId="13F7AA2A">
      <w:pPr>
        <w:keepNext w:val="0"/>
        <w:keepLines w:val="0"/>
        <w:pageBreakBefore w:val="0"/>
        <w:widowControl/>
        <w:numPr>
          <w:ilvl w:val="0"/>
          <w:numId w:val="2"/>
        </w:numPr>
        <w:shd w:val="clear" w:color="auto" w:fill="FFFFFF"/>
        <w:kinsoku w:val="0"/>
        <w:wordWrap/>
        <w:overflowPunct/>
        <w:topLinePunct w:val="0"/>
        <w:autoSpaceDE/>
        <w:autoSpaceDN/>
        <w:bidi w:val="0"/>
        <w:adjustRightInd w:val="0"/>
        <w:snapToGrid w:val="0"/>
        <w:spacing w:line="480" w:lineRule="exact"/>
        <w:ind w:left="0" w:right="0" w:firstLine="560" w:firstLineChars="200"/>
        <w:jc w:val="both"/>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rPr>
        <w:t>乙方不得以任何名义为甲方报销应由甲方支付的任何费用。</w:t>
      </w:r>
    </w:p>
    <w:p w14:paraId="71E5BEFB">
      <w:pPr>
        <w:keepNext w:val="0"/>
        <w:keepLines w:val="0"/>
        <w:pageBreakBefore w:val="0"/>
        <w:widowControl/>
        <w:numPr>
          <w:ilvl w:val="0"/>
          <w:numId w:val="2"/>
        </w:numPr>
        <w:shd w:val="clear" w:color="auto" w:fill="FFFFFF"/>
        <w:kinsoku w:val="0"/>
        <w:wordWrap/>
        <w:overflowPunct/>
        <w:topLinePunct w:val="0"/>
        <w:autoSpaceDE/>
        <w:autoSpaceDN/>
        <w:bidi w:val="0"/>
        <w:adjustRightInd w:val="0"/>
        <w:snapToGrid w:val="0"/>
        <w:spacing w:line="480" w:lineRule="exact"/>
        <w:ind w:left="0" w:right="0" w:firstLine="560" w:firstLineChars="200"/>
        <w:jc w:val="both"/>
        <w:textAlignment w:val="baseline"/>
        <w:rPr>
          <w:rFonts w:hint="eastAsia" w:ascii="仿宋" w:hAnsi="仿宋" w:eastAsia="仿宋" w:cs="仿宋"/>
          <w:snapToGrid w:val="0"/>
          <w:color w:val="auto"/>
          <w:kern w:val="0"/>
          <w:sz w:val="28"/>
          <w:szCs w:val="28"/>
          <w:highlight w:val="none"/>
          <w:lang w:eastAsia="zh-CN"/>
        </w:rPr>
      </w:pPr>
      <w:r>
        <w:rPr>
          <w:rFonts w:hint="eastAsia" w:ascii="仿宋" w:hAnsi="仿宋" w:eastAsia="仿宋" w:cs="仿宋"/>
          <w:snapToGrid w:val="0"/>
          <w:color w:val="auto"/>
          <w:kern w:val="0"/>
          <w:sz w:val="28"/>
          <w:szCs w:val="28"/>
          <w:highlight w:val="none"/>
        </w:rPr>
        <w:t>乙方不得以任何理由安排甲方</w:t>
      </w:r>
      <w:r>
        <w:rPr>
          <w:rFonts w:hint="eastAsia" w:ascii="仿宋" w:hAnsi="仿宋" w:eastAsia="仿宋" w:cs="仿宋"/>
          <w:snapToGrid w:val="0"/>
          <w:color w:val="auto"/>
          <w:kern w:val="0"/>
          <w:sz w:val="28"/>
          <w:szCs w:val="28"/>
          <w:highlight w:val="none"/>
          <w:lang w:val="en-US" w:eastAsia="zh-CN"/>
        </w:rPr>
        <w:t>正常业务接待以外的宴请</w:t>
      </w:r>
      <w:r>
        <w:rPr>
          <w:rFonts w:hint="eastAsia" w:ascii="仿宋" w:hAnsi="仿宋" w:eastAsia="仿宋" w:cs="仿宋"/>
          <w:snapToGrid w:val="0"/>
          <w:color w:val="auto"/>
          <w:kern w:val="0"/>
          <w:sz w:val="28"/>
          <w:szCs w:val="28"/>
          <w:highlight w:val="none"/>
        </w:rPr>
        <w:t>、旅游</w:t>
      </w:r>
      <w:r>
        <w:rPr>
          <w:rFonts w:hint="eastAsia" w:ascii="仿宋" w:hAnsi="仿宋" w:eastAsia="仿宋" w:cs="仿宋"/>
          <w:snapToGrid w:val="0"/>
          <w:color w:val="auto"/>
          <w:kern w:val="0"/>
          <w:sz w:val="28"/>
          <w:szCs w:val="28"/>
          <w:highlight w:val="none"/>
          <w:lang w:eastAsia="zh-CN"/>
        </w:rPr>
        <w:t>、</w:t>
      </w:r>
      <w:r>
        <w:rPr>
          <w:rFonts w:hint="eastAsia" w:ascii="仿宋" w:hAnsi="仿宋" w:eastAsia="仿宋" w:cs="仿宋"/>
          <w:snapToGrid w:val="0"/>
          <w:color w:val="auto"/>
          <w:kern w:val="0"/>
          <w:sz w:val="28"/>
          <w:szCs w:val="28"/>
          <w:highlight w:val="none"/>
        </w:rPr>
        <w:t>娱乐</w:t>
      </w:r>
      <w:r>
        <w:rPr>
          <w:rFonts w:hint="eastAsia" w:ascii="仿宋" w:hAnsi="仿宋" w:eastAsia="仿宋" w:cs="仿宋"/>
          <w:snapToGrid w:val="0"/>
          <w:color w:val="auto"/>
          <w:kern w:val="0"/>
          <w:sz w:val="28"/>
          <w:szCs w:val="28"/>
          <w:highlight w:val="none"/>
          <w:lang w:eastAsia="zh-CN"/>
        </w:rPr>
        <w:t>等活动。</w:t>
      </w:r>
    </w:p>
    <w:p w14:paraId="2E3964F2">
      <w:pPr>
        <w:keepNext w:val="0"/>
        <w:keepLines w:val="0"/>
        <w:pageBreakBefore w:val="0"/>
        <w:widowControl/>
        <w:numPr>
          <w:ilvl w:val="0"/>
          <w:numId w:val="2"/>
        </w:numPr>
        <w:shd w:val="clear" w:color="auto" w:fill="FFFFFF"/>
        <w:kinsoku w:val="0"/>
        <w:wordWrap/>
        <w:overflowPunct/>
        <w:topLinePunct w:val="0"/>
        <w:autoSpaceDE/>
        <w:autoSpaceDN/>
        <w:bidi w:val="0"/>
        <w:adjustRightInd w:val="0"/>
        <w:snapToGrid w:val="0"/>
        <w:spacing w:line="480" w:lineRule="exact"/>
        <w:ind w:left="0" w:right="0" w:firstLine="560" w:firstLineChars="200"/>
        <w:jc w:val="both"/>
        <w:textAlignment w:val="baseline"/>
        <w:rPr>
          <w:rFonts w:hint="eastAsia" w:ascii="仿宋" w:hAnsi="仿宋" w:eastAsia="仿宋" w:cs="仿宋"/>
          <w:snapToGrid w:val="0"/>
          <w:color w:val="auto"/>
          <w:kern w:val="0"/>
          <w:sz w:val="28"/>
          <w:szCs w:val="28"/>
          <w:highlight w:val="none"/>
          <w:lang w:eastAsia="zh-CN"/>
        </w:rPr>
      </w:pPr>
      <w:r>
        <w:rPr>
          <w:rFonts w:hint="eastAsia" w:ascii="仿宋" w:hAnsi="仿宋" w:eastAsia="仿宋" w:cs="仿宋"/>
          <w:snapToGrid w:val="0"/>
          <w:color w:val="auto"/>
          <w:kern w:val="0"/>
          <w:sz w:val="28"/>
          <w:szCs w:val="28"/>
          <w:highlight w:val="none"/>
          <w:lang w:eastAsia="zh-CN"/>
        </w:rPr>
        <w:t>乙方工作人员</w:t>
      </w:r>
      <w:r>
        <w:rPr>
          <w:rFonts w:hint="eastAsia" w:ascii="仿宋" w:hAnsi="仿宋" w:eastAsia="仿宋" w:cs="仿宋"/>
          <w:snapToGrid w:val="0"/>
          <w:color w:val="auto"/>
          <w:kern w:val="0"/>
          <w:sz w:val="28"/>
          <w:szCs w:val="28"/>
          <w:highlight w:val="none"/>
        </w:rPr>
        <w:t>如</w:t>
      </w:r>
      <w:r>
        <w:rPr>
          <w:rFonts w:hint="eastAsia" w:ascii="仿宋" w:hAnsi="仿宋" w:eastAsia="仿宋" w:cs="仿宋"/>
          <w:snapToGrid w:val="0"/>
          <w:color w:val="auto"/>
          <w:kern w:val="0"/>
          <w:sz w:val="28"/>
          <w:szCs w:val="28"/>
          <w:highlight w:val="none"/>
          <w:lang w:val="en-US" w:eastAsia="zh-CN"/>
        </w:rPr>
        <w:t>曾系甲方</w:t>
      </w:r>
      <w:r>
        <w:rPr>
          <w:rFonts w:hint="eastAsia" w:ascii="仿宋" w:hAnsi="仿宋" w:eastAsia="仿宋" w:cs="仿宋"/>
          <w:snapToGrid w:val="0"/>
          <w:color w:val="auto"/>
          <w:kern w:val="0"/>
          <w:sz w:val="28"/>
          <w:szCs w:val="28"/>
          <w:highlight w:val="none"/>
        </w:rPr>
        <w:t>的</w:t>
      </w:r>
      <w:r>
        <w:rPr>
          <w:rFonts w:hint="eastAsia" w:ascii="仿宋" w:hAnsi="仿宋" w:eastAsia="仿宋" w:cs="仿宋"/>
          <w:snapToGrid w:val="0"/>
          <w:color w:val="auto"/>
          <w:kern w:val="0"/>
          <w:sz w:val="28"/>
          <w:szCs w:val="28"/>
          <w:highlight w:val="none"/>
          <w:lang w:val="en-US" w:eastAsia="zh-CN"/>
        </w:rPr>
        <w:t>工作</w:t>
      </w:r>
      <w:r>
        <w:rPr>
          <w:rFonts w:hint="eastAsia" w:ascii="仿宋" w:hAnsi="仿宋" w:eastAsia="仿宋" w:cs="仿宋"/>
          <w:snapToGrid w:val="0"/>
          <w:color w:val="auto"/>
          <w:kern w:val="0"/>
          <w:sz w:val="28"/>
          <w:szCs w:val="28"/>
          <w:highlight w:val="none"/>
        </w:rPr>
        <w:t>人员</w:t>
      </w:r>
      <w:r>
        <w:rPr>
          <w:rFonts w:hint="eastAsia" w:ascii="仿宋" w:hAnsi="仿宋" w:eastAsia="仿宋" w:cs="仿宋"/>
          <w:snapToGrid w:val="0"/>
          <w:color w:val="auto"/>
          <w:kern w:val="0"/>
          <w:sz w:val="28"/>
          <w:szCs w:val="28"/>
          <w:highlight w:val="none"/>
          <w:lang w:eastAsia="zh-CN"/>
        </w:rPr>
        <w:t>，</w:t>
      </w:r>
      <w:r>
        <w:rPr>
          <w:rFonts w:hint="eastAsia" w:ascii="仿宋" w:hAnsi="仿宋" w:eastAsia="仿宋" w:cs="仿宋"/>
          <w:snapToGrid w:val="0"/>
          <w:color w:val="auto"/>
          <w:kern w:val="0"/>
          <w:sz w:val="28"/>
          <w:szCs w:val="28"/>
          <w:highlight w:val="none"/>
        </w:rPr>
        <w:t>或与</w:t>
      </w:r>
      <w:r>
        <w:rPr>
          <w:rFonts w:hint="eastAsia" w:ascii="仿宋" w:hAnsi="仿宋" w:eastAsia="仿宋" w:cs="仿宋"/>
          <w:snapToGrid w:val="0"/>
          <w:color w:val="auto"/>
          <w:kern w:val="0"/>
          <w:sz w:val="28"/>
          <w:szCs w:val="28"/>
          <w:highlight w:val="none"/>
          <w:lang w:val="en-US" w:eastAsia="zh-CN"/>
        </w:rPr>
        <w:t>甲方</w:t>
      </w:r>
      <w:r>
        <w:rPr>
          <w:rFonts w:hint="eastAsia" w:ascii="仿宋" w:hAnsi="仿宋" w:eastAsia="仿宋" w:cs="仿宋"/>
          <w:snapToGrid w:val="0"/>
          <w:color w:val="auto"/>
          <w:kern w:val="0"/>
          <w:sz w:val="28"/>
          <w:szCs w:val="28"/>
          <w:highlight w:val="none"/>
        </w:rPr>
        <w:t>高级管理人员有</w:t>
      </w:r>
      <w:r>
        <w:rPr>
          <w:rFonts w:hint="eastAsia" w:ascii="仿宋" w:hAnsi="仿宋" w:eastAsia="仿宋" w:cs="仿宋"/>
          <w:snapToGrid w:val="0"/>
          <w:color w:val="auto"/>
          <w:kern w:val="0"/>
          <w:sz w:val="28"/>
          <w:szCs w:val="28"/>
          <w:highlight w:val="none"/>
          <w:lang w:eastAsia="zh-CN"/>
        </w:rPr>
        <w:t>近亲属等特定</w:t>
      </w:r>
      <w:r>
        <w:rPr>
          <w:rFonts w:hint="eastAsia" w:ascii="仿宋" w:hAnsi="仿宋" w:eastAsia="仿宋" w:cs="仿宋"/>
          <w:snapToGrid w:val="0"/>
          <w:color w:val="auto"/>
          <w:kern w:val="0"/>
          <w:sz w:val="28"/>
          <w:szCs w:val="28"/>
          <w:highlight w:val="none"/>
        </w:rPr>
        <w:t>关系</w:t>
      </w:r>
      <w:r>
        <w:rPr>
          <w:rFonts w:hint="eastAsia" w:ascii="仿宋" w:hAnsi="仿宋" w:eastAsia="仿宋" w:cs="仿宋"/>
          <w:snapToGrid w:val="0"/>
          <w:color w:val="auto"/>
          <w:kern w:val="0"/>
          <w:sz w:val="28"/>
          <w:szCs w:val="28"/>
          <w:highlight w:val="none"/>
          <w:lang w:eastAsia="zh-CN"/>
        </w:rPr>
        <w:t>的</w:t>
      </w:r>
      <w:r>
        <w:rPr>
          <w:rFonts w:hint="eastAsia" w:ascii="仿宋" w:hAnsi="仿宋" w:eastAsia="仿宋" w:cs="仿宋"/>
          <w:snapToGrid w:val="0"/>
          <w:color w:val="auto"/>
          <w:kern w:val="0"/>
          <w:sz w:val="28"/>
          <w:szCs w:val="28"/>
          <w:highlight w:val="none"/>
        </w:rPr>
        <w:t>，</w:t>
      </w:r>
      <w:r>
        <w:rPr>
          <w:rFonts w:hint="eastAsia" w:ascii="仿宋" w:hAnsi="仿宋" w:eastAsia="仿宋" w:cs="仿宋"/>
          <w:snapToGrid w:val="0"/>
          <w:color w:val="auto"/>
          <w:kern w:val="0"/>
          <w:sz w:val="28"/>
          <w:szCs w:val="28"/>
          <w:highlight w:val="none"/>
          <w:lang w:eastAsia="zh-CN"/>
        </w:rPr>
        <w:t>应</w:t>
      </w:r>
      <w:r>
        <w:rPr>
          <w:rFonts w:hint="eastAsia" w:ascii="仿宋" w:hAnsi="仿宋" w:eastAsia="仿宋" w:cs="仿宋"/>
          <w:snapToGrid w:val="0"/>
          <w:color w:val="auto"/>
          <w:kern w:val="0"/>
          <w:sz w:val="28"/>
          <w:szCs w:val="28"/>
          <w:highlight w:val="none"/>
        </w:rPr>
        <w:t>书面告知</w:t>
      </w:r>
      <w:r>
        <w:rPr>
          <w:rFonts w:hint="eastAsia" w:ascii="仿宋" w:hAnsi="仿宋" w:eastAsia="仿宋" w:cs="仿宋"/>
          <w:snapToGrid w:val="0"/>
          <w:color w:val="auto"/>
          <w:kern w:val="0"/>
          <w:sz w:val="28"/>
          <w:szCs w:val="28"/>
          <w:highlight w:val="none"/>
          <w:lang w:val="en-US" w:eastAsia="zh-CN"/>
        </w:rPr>
        <w:t>甲方</w:t>
      </w:r>
      <w:r>
        <w:rPr>
          <w:rFonts w:hint="eastAsia" w:ascii="仿宋" w:hAnsi="仿宋" w:eastAsia="仿宋" w:cs="仿宋"/>
          <w:snapToGrid w:val="0"/>
          <w:color w:val="auto"/>
          <w:kern w:val="0"/>
          <w:sz w:val="28"/>
          <w:szCs w:val="28"/>
          <w:highlight w:val="none"/>
          <w:lang w:eastAsia="zh-CN"/>
        </w:rPr>
        <w:t>。</w:t>
      </w:r>
    </w:p>
    <w:p w14:paraId="2DDEADE4">
      <w:pPr>
        <w:keepNext w:val="0"/>
        <w:keepLines w:val="0"/>
        <w:pageBreakBefore w:val="0"/>
        <w:widowControl/>
        <w:numPr>
          <w:ilvl w:val="0"/>
          <w:numId w:val="2"/>
        </w:numPr>
        <w:shd w:val="clear"/>
        <w:kinsoku/>
        <w:wordWrap/>
        <w:overflowPunct/>
        <w:topLinePunct w:val="0"/>
        <w:autoSpaceDE/>
        <w:autoSpaceDN/>
        <w:bidi w:val="0"/>
        <w:adjustRightInd/>
        <w:snapToGrid/>
        <w:spacing w:before="0" w:beforeAutospacing="0" w:after="0" w:afterAutospacing="0" w:line="480" w:lineRule="exact"/>
        <w:ind w:left="0" w:right="0" w:firstLine="560" w:firstLineChars="200"/>
        <w:jc w:val="left"/>
        <w:textAlignment w:val="auto"/>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spacing w:val="0"/>
          <w:kern w:val="0"/>
          <w:sz w:val="28"/>
          <w:szCs w:val="28"/>
          <w:highlight w:val="none"/>
          <w:lang w:val="en-US" w:eastAsia="zh-CN"/>
        </w:rPr>
        <w:t>乙方</w:t>
      </w:r>
      <w:r>
        <w:rPr>
          <w:rFonts w:hint="eastAsia" w:ascii="仿宋" w:hAnsi="仿宋" w:eastAsia="仿宋" w:cs="仿宋"/>
          <w:snapToGrid w:val="0"/>
          <w:color w:val="auto"/>
          <w:spacing w:val="0"/>
          <w:kern w:val="0"/>
          <w:sz w:val="28"/>
          <w:szCs w:val="28"/>
          <w:highlight w:val="none"/>
        </w:rPr>
        <w:t>不得</w:t>
      </w:r>
      <w:r>
        <w:rPr>
          <w:rFonts w:hint="eastAsia" w:ascii="仿宋" w:hAnsi="仿宋" w:eastAsia="仿宋" w:cs="仿宋"/>
          <w:snapToGrid w:val="0"/>
          <w:color w:val="auto"/>
          <w:spacing w:val="0"/>
          <w:kern w:val="0"/>
          <w:sz w:val="28"/>
          <w:szCs w:val="28"/>
          <w:highlight w:val="none"/>
          <w:lang w:eastAsia="zh-CN"/>
        </w:rPr>
        <w:t>与</w:t>
      </w:r>
      <w:r>
        <w:rPr>
          <w:rFonts w:hint="eastAsia" w:ascii="仿宋" w:hAnsi="仿宋" w:eastAsia="仿宋" w:cs="仿宋"/>
          <w:snapToGrid w:val="0"/>
          <w:color w:val="auto"/>
          <w:kern w:val="0"/>
          <w:sz w:val="28"/>
          <w:szCs w:val="28"/>
          <w:highlight w:val="none"/>
          <w:lang w:val="en-US" w:eastAsia="zh-CN"/>
        </w:rPr>
        <w:t>甲方</w:t>
      </w:r>
      <w:r>
        <w:rPr>
          <w:rFonts w:hint="eastAsia" w:ascii="仿宋" w:hAnsi="仿宋" w:eastAsia="仿宋" w:cs="仿宋"/>
          <w:snapToGrid w:val="0"/>
          <w:color w:val="auto"/>
          <w:spacing w:val="0"/>
          <w:kern w:val="0"/>
          <w:sz w:val="28"/>
          <w:szCs w:val="28"/>
          <w:highlight w:val="none"/>
          <w:lang w:eastAsia="zh-CN"/>
        </w:rPr>
        <w:t>发生其他违反廉洁规定的行为。</w:t>
      </w:r>
    </w:p>
    <w:p w14:paraId="708AFF65">
      <w:pPr>
        <w:keepNext w:val="0"/>
        <w:keepLines w:val="0"/>
        <w:pageBreakBefore w:val="0"/>
        <w:widowControl/>
        <w:kinsoku/>
        <w:wordWrap/>
        <w:overflowPunct/>
        <w:topLinePunct w:val="0"/>
        <w:autoSpaceDE/>
        <w:autoSpaceDN/>
        <w:bidi w:val="0"/>
        <w:adjustRightInd/>
        <w:snapToGrid/>
        <w:spacing w:line="480" w:lineRule="exact"/>
        <w:ind w:left="0" w:right="0" w:firstLine="562" w:firstLineChars="200"/>
        <w:jc w:val="left"/>
        <w:textAlignment w:val="auto"/>
        <w:rPr>
          <w:rFonts w:hint="eastAsia" w:ascii="仿宋" w:hAnsi="仿宋" w:eastAsia="仿宋" w:cs="仿宋"/>
          <w:b/>
          <w:snapToGrid w:val="0"/>
          <w:color w:val="auto"/>
          <w:kern w:val="0"/>
          <w:sz w:val="28"/>
          <w:szCs w:val="28"/>
          <w:highlight w:val="none"/>
        </w:rPr>
      </w:pPr>
      <w:r>
        <w:rPr>
          <w:rFonts w:hint="eastAsia" w:ascii="仿宋" w:hAnsi="仿宋" w:eastAsia="仿宋" w:cs="仿宋"/>
          <w:b/>
          <w:snapToGrid w:val="0"/>
          <w:color w:val="auto"/>
          <w:kern w:val="0"/>
          <w:sz w:val="28"/>
          <w:szCs w:val="28"/>
          <w:highlight w:val="none"/>
          <w:lang w:val="en-US" w:eastAsia="zh-CN"/>
        </w:rPr>
        <w:t>三、违约</w:t>
      </w:r>
      <w:r>
        <w:rPr>
          <w:rFonts w:hint="eastAsia" w:ascii="仿宋" w:hAnsi="仿宋" w:eastAsia="仿宋" w:cs="仿宋"/>
          <w:b/>
          <w:snapToGrid w:val="0"/>
          <w:color w:val="auto"/>
          <w:kern w:val="0"/>
          <w:sz w:val="28"/>
          <w:szCs w:val="28"/>
          <w:highlight w:val="none"/>
        </w:rPr>
        <w:t>责任</w:t>
      </w:r>
    </w:p>
    <w:p w14:paraId="38369663">
      <w:pPr>
        <w:keepNext w:val="0"/>
        <w:keepLines w:val="0"/>
        <w:pageBreakBefore w:val="0"/>
        <w:widowControl/>
        <w:numPr>
          <w:ilvl w:val="0"/>
          <w:numId w:val="3"/>
        </w:numPr>
        <w:shd w:val="clear"/>
        <w:kinsoku/>
        <w:wordWrap/>
        <w:overflowPunct/>
        <w:topLinePunct w:val="0"/>
        <w:autoSpaceDE/>
        <w:autoSpaceDN/>
        <w:bidi w:val="0"/>
        <w:adjustRightInd/>
        <w:snapToGrid/>
        <w:spacing w:before="0" w:beforeAutospacing="0" w:after="0" w:afterAutospacing="0" w:line="480" w:lineRule="exact"/>
        <w:ind w:left="0" w:right="0" w:firstLine="560" w:firstLineChars="200"/>
        <w:jc w:val="left"/>
        <w:textAlignment w:val="auto"/>
        <w:rPr>
          <w:rFonts w:hint="eastAsia" w:ascii="仿宋" w:hAnsi="仿宋" w:eastAsia="仿宋" w:cs="仿宋"/>
          <w:snapToGrid w:val="0"/>
          <w:color w:val="auto"/>
          <w:spacing w:val="0"/>
          <w:kern w:val="0"/>
          <w:sz w:val="28"/>
          <w:szCs w:val="28"/>
          <w:highlight w:val="none"/>
          <w:lang w:val="en-US" w:eastAsia="zh-CN"/>
        </w:rPr>
      </w:pPr>
      <w:r>
        <w:rPr>
          <w:rFonts w:hint="eastAsia" w:ascii="仿宋" w:hAnsi="仿宋" w:eastAsia="仿宋" w:cs="仿宋"/>
          <w:snapToGrid w:val="0"/>
          <w:color w:val="auto"/>
          <w:kern w:val="0"/>
          <w:sz w:val="28"/>
          <w:szCs w:val="28"/>
          <w:highlight w:val="none"/>
          <w:lang w:val="en-US" w:eastAsia="zh-CN"/>
        </w:rPr>
        <w:t>甲方违反本合同约定的，给乙方造成经济损失的，应予以赔偿。</w:t>
      </w:r>
    </w:p>
    <w:p w14:paraId="23056199">
      <w:pPr>
        <w:keepNext w:val="0"/>
        <w:keepLines w:val="0"/>
        <w:pageBreakBefore w:val="0"/>
        <w:widowControl/>
        <w:numPr>
          <w:ilvl w:val="0"/>
          <w:numId w:val="3"/>
        </w:numPr>
        <w:shd w:val="clear"/>
        <w:kinsoku/>
        <w:wordWrap/>
        <w:overflowPunct/>
        <w:topLinePunct w:val="0"/>
        <w:autoSpaceDE/>
        <w:autoSpaceDN/>
        <w:bidi w:val="0"/>
        <w:adjustRightInd/>
        <w:snapToGrid/>
        <w:spacing w:before="0" w:beforeAutospacing="0" w:after="0" w:afterAutospacing="0" w:line="480" w:lineRule="exact"/>
        <w:ind w:left="0" w:right="0" w:firstLine="560" w:firstLineChars="200"/>
        <w:jc w:val="left"/>
        <w:textAlignment w:val="auto"/>
        <w:rPr>
          <w:rFonts w:hint="eastAsia" w:ascii="仿宋" w:hAnsi="仿宋" w:eastAsia="仿宋" w:cs="仿宋"/>
          <w:snapToGrid w:val="0"/>
          <w:color w:val="auto"/>
          <w:kern w:val="0"/>
          <w:sz w:val="28"/>
          <w:szCs w:val="28"/>
          <w:highlight w:val="none"/>
          <w:lang w:eastAsia="zh-CN"/>
        </w:rPr>
      </w:pPr>
      <w:r>
        <w:rPr>
          <w:rFonts w:hint="eastAsia" w:ascii="仿宋" w:hAnsi="仿宋" w:eastAsia="仿宋" w:cs="仿宋"/>
          <w:snapToGrid w:val="0"/>
          <w:color w:val="auto"/>
          <w:kern w:val="0"/>
          <w:sz w:val="28"/>
          <w:szCs w:val="28"/>
          <w:highlight w:val="none"/>
          <w:lang w:val="en-US" w:eastAsia="zh-CN"/>
        </w:rPr>
        <w:t>乙方违反本合同约定的，甲方有权收取</w:t>
      </w:r>
      <w:r>
        <w:rPr>
          <w:rFonts w:hint="eastAsia" w:ascii="仿宋" w:hAnsi="仿宋" w:eastAsia="仿宋" w:cs="仿宋"/>
          <w:snapToGrid w:val="0"/>
          <w:color w:val="auto"/>
          <w:spacing w:val="0"/>
          <w:kern w:val="0"/>
          <w:sz w:val="28"/>
          <w:szCs w:val="28"/>
          <w:highlight w:val="none"/>
          <w:lang w:val="en-US" w:eastAsia="zh-CN"/>
        </w:rPr>
        <w:t>相当于采购合同总额</w:t>
      </w:r>
      <w:r>
        <w:rPr>
          <w:rFonts w:hint="eastAsia" w:ascii="仿宋" w:hAnsi="仿宋" w:eastAsia="仿宋" w:cs="仿宋"/>
          <w:snapToGrid w:val="0"/>
          <w:color w:val="auto"/>
          <w:spacing w:val="0"/>
          <w:kern w:val="0"/>
          <w:sz w:val="28"/>
          <w:szCs w:val="28"/>
          <w:highlight w:val="none"/>
          <w:u w:val="single"/>
          <w:lang w:val="en-US" w:eastAsia="zh-CN"/>
        </w:rPr>
        <w:t xml:space="preserve">20 </w:t>
      </w:r>
      <w:r>
        <w:rPr>
          <w:rFonts w:hint="eastAsia" w:ascii="仿宋" w:hAnsi="仿宋" w:eastAsia="仿宋" w:cs="仿宋"/>
          <w:snapToGrid w:val="0"/>
          <w:color w:val="auto"/>
          <w:spacing w:val="0"/>
          <w:kern w:val="0"/>
          <w:sz w:val="28"/>
          <w:szCs w:val="28"/>
          <w:highlight w:val="none"/>
          <w:lang w:val="en-US" w:eastAsia="zh-CN"/>
        </w:rPr>
        <w:t>%的违约金，且有权解除采购合同</w:t>
      </w:r>
      <w:r>
        <w:rPr>
          <w:rFonts w:hint="eastAsia" w:ascii="仿宋" w:hAnsi="仿宋" w:eastAsia="仿宋" w:cs="仿宋"/>
          <w:snapToGrid w:val="0"/>
          <w:color w:val="auto"/>
          <w:kern w:val="0"/>
          <w:sz w:val="28"/>
          <w:szCs w:val="28"/>
          <w:highlight w:val="none"/>
          <w:lang w:val="en-US" w:eastAsia="zh-CN"/>
        </w:rPr>
        <w:t>；乙方给甲方单位造成经济损失的，应予以赔偿</w:t>
      </w:r>
      <w:r>
        <w:rPr>
          <w:rFonts w:hint="eastAsia" w:ascii="仿宋" w:hAnsi="仿宋" w:eastAsia="仿宋" w:cs="仿宋"/>
          <w:snapToGrid w:val="0"/>
          <w:color w:val="auto"/>
          <w:spacing w:val="8"/>
          <w:kern w:val="0"/>
          <w:sz w:val="28"/>
          <w:szCs w:val="28"/>
          <w:highlight w:val="none"/>
        </w:rPr>
        <w:t>。</w:t>
      </w:r>
    </w:p>
    <w:p w14:paraId="1E7FFFCA">
      <w:pPr>
        <w:keepNext w:val="0"/>
        <w:keepLines w:val="0"/>
        <w:pageBreakBefore w:val="0"/>
        <w:widowControl/>
        <w:kinsoku/>
        <w:wordWrap/>
        <w:overflowPunct/>
        <w:topLinePunct w:val="0"/>
        <w:autoSpaceDE/>
        <w:autoSpaceDN/>
        <w:bidi w:val="0"/>
        <w:adjustRightInd/>
        <w:snapToGrid/>
        <w:spacing w:line="480" w:lineRule="exact"/>
        <w:ind w:left="0" w:right="0" w:firstLine="562" w:firstLineChars="200"/>
        <w:jc w:val="left"/>
        <w:textAlignment w:val="auto"/>
        <w:rPr>
          <w:rFonts w:hint="eastAsia" w:ascii="仿宋" w:hAnsi="仿宋" w:eastAsia="仿宋" w:cs="仿宋"/>
          <w:b/>
          <w:bCs/>
          <w:snapToGrid w:val="0"/>
          <w:color w:val="auto"/>
          <w:kern w:val="0"/>
          <w:sz w:val="28"/>
          <w:szCs w:val="28"/>
          <w:highlight w:val="none"/>
          <w:lang w:val="en-US" w:eastAsia="zh-CN"/>
        </w:rPr>
      </w:pPr>
      <w:r>
        <w:rPr>
          <w:rFonts w:hint="eastAsia" w:ascii="仿宋" w:hAnsi="仿宋" w:eastAsia="仿宋" w:cs="仿宋"/>
          <w:b/>
          <w:bCs/>
          <w:snapToGrid w:val="0"/>
          <w:color w:val="auto"/>
          <w:kern w:val="0"/>
          <w:sz w:val="28"/>
          <w:szCs w:val="28"/>
          <w:highlight w:val="none"/>
          <w:lang w:val="en-US" w:eastAsia="zh-CN"/>
        </w:rPr>
        <w:t>四、其他条款</w:t>
      </w:r>
    </w:p>
    <w:p w14:paraId="0CC6E6E2">
      <w:pPr>
        <w:keepNext w:val="0"/>
        <w:keepLines w:val="0"/>
        <w:pageBreakBefore w:val="0"/>
        <w:widowControl/>
        <w:numPr>
          <w:ilvl w:val="0"/>
          <w:numId w:val="4"/>
        </w:numPr>
        <w:kinsoku/>
        <w:wordWrap/>
        <w:overflowPunct/>
        <w:topLinePunct w:val="0"/>
        <w:autoSpaceDE/>
        <w:autoSpaceDN/>
        <w:bidi w:val="0"/>
        <w:adjustRightInd/>
        <w:snapToGrid/>
        <w:spacing w:line="480" w:lineRule="exact"/>
        <w:ind w:left="0" w:right="0" w:firstLine="560" w:firstLineChars="200"/>
        <w:jc w:val="left"/>
        <w:textAlignment w:val="auto"/>
        <w:rPr>
          <w:rFonts w:hint="eastAsia" w:ascii="仿宋" w:hAnsi="仿宋" w:eastAsia="仿宋" w:cs="仿宋"/>
          <w:snapToGrid w:val="0"/>
          <w:color w:val="auto"/>
          <w:kern w:val="0"/>
          <w:sz w:val="28"/>
          <w:szCs w:val="28"/>
          <w:highlight w:val="none"/>
          <w:lang w:val="en-US" w:eastAsia="zh-CN"/>
        </w:rPr>
      </w:pPr>
      <w:r>
        <w:rPr>
          <w:rFonts w:hint="eastAsia" w:ascii="仿宋" w:hAnsi="仿宋" w:eastAsia="仿宋" w:cs="仿宋"/>
          <w:snapToGrid w:val="0"/>
          <w:color w:val="auto"/>
          <w:kern w:val="0"/>
          <w:sz w:val="28"/>
          <w:szCs w:val="28"/>
          <w:highlight w:val="none"/>
          <w:lang w:val="en-US" w:eastAsia="zh-CN"/>
        </w:rPr>
        <w:t>本协议作为《</w:t>
      </w:r>
      <w:r>
        <w:rPr>
          <w:rFonts w:hint="eastAsia" w:ascii="仿宋" w:hAnsi="仿宋" w:eastAsia="仿宋" w:cs="仿宋"/>
          <w:snapToGrid w:val="0"/>
          <w:color w:val="auto"/>
          <w:kern w:val="0"/>
          <w:sz w:val="28"/>
          <w:szCs w:val="28"/>
          <w:highlight w:val="none"/>
        </w:rPr>
        <w:t>晋安湖公园水上娱乐业态短期经营服务合同</w:t>
      </w:r>
      <w:r>
        <w:rPr>
          <w:rFonts w:hint="eastAsia" w:ascii="仿宋" w:hAnsi="仿宋" w:eastAsia="仿宋" w:cs="仿宋"/>
          <w:snapToGrid w:val="0"/>
          <w:color w:val="auto"/>
          <w:spacing w:val="0"/>
          <w:kern w:val="0"/>
          <w:sz w:val="28"/>
          <w:szCs w:val="28"/>
          <w:highlight w:val="none"/>
          <w:u w:val="single"/>
          <w:lang w:val="en-US" w:eastAsia="zh-CN"/>
        </w:rPr>
        <w:t>》</w:t>
      </w:r>
      <w:r>
        <w:rPr>
          <w:rFonts w:hint="eastAsia" w:ascii="仿宋" w:hAnsi="仿宋" w:eastAsia="仿宋" w:cs="仿宋"/>
          <w:snapToGrid w:val="0"/>
          <w:color w:val="auto"/>
          <w:kern w:val="0"/>
          <w:sz w:val="28"/>
          <w:szCs w:val="28"/>
          <w:highlight w:val="none"/>
          <w:lang w:val="en-US" w:eastAsia="zh-CN"/>
        </w:rPr>
        <w:t>的附件，自双方盖章之日起生效。如签订的采购合同和本协议不一致的，以本协议为准。</w:t>
      </w:r>
    </w:p>
    <w:p w14:paraId="01D7B0F9">
      <w:pPr>
        <w:keepNext w:val="0"/>
        <w:keepLines w:val="0"/>
        <w:pageBreakBefore w:val="0"/>
        <w:widowControl/>
        <w:numPr>
          <w:ilvl w:val="0"/>
          <w:numId w:val="4"/>
        </w:numPr>
        <w:kinsoku/>
        <w:wordWrap/>
        <w:overflowPunct/>
        <w:topLinePunct w:val="0"/>
        <w:autoSpaceDE/>
        <w:autoSpaceDN/>
        <w:bidi w:val="0"/>
        <w:adjustRightInd/>
        <w:snapToGrid/>
        <w:spacing w:line="480" w:lineRule="exact"/>
        <w:ind w:left="0" w:right="0" w:firstLine="560" w:firstLineChars="200"/>
        <w:jc w:val="left"/>
        <w:textAlignment w:val="auto"/>
        <w:rPr>
          <w:rFonts w:hint="eastAsia" w:ascii="仿宋" w:hAnsi="仿宋" w:eastAsia="仿宋" w:cs="仿宋"/>
          <w:snapToGrid w:val="0"/>
          <w:color w:val="auto"/>
          <w:kern w:val="0"/>
          <w:sz w:val="28"/>
          <w:szCs w:val="28"/>
          <w:highlight w:val="none"/>
          <w:lang w:val="en-US" w:eastAsia="zh-CN"/>
        </w:rPr>
      </w:pPr>
      <w:r>
        <w:rPr>
          <w:rFonts w:hint="eastAsia" w:ascii="仿宋" w:hAnsi="仿宋" w:eastAsia="仿宋" w:cs="仿宋"/>
          <w:snapToGrid w:val="0"/>
          <w:color w:val="auto"/>
          <w:kern w:val="0"/>
          <w:sz w:val="28"/>
          <w:szCs w:val="28"/>
          <w:highlight w:val="none"/>
          <w:lang w:val="en-US" w:eastAsia="zh-CN"/>
        </w:rPr>
        <w:t>本合同一式</w:t>
      </w:r>
      <w:r>
        <w:rPr>
          <w:rFonts w:hint="eastAsia" w:ascii="仿宋" w:hAnsi="仿宋" w:eastAsia="仿宋" w:cs="仿宋"/>
          <w:snapToGrid w:val="0"/>
          <w:color w:val="auto"/>
          <w:spacing w:val="0"/>
          <w:kern w:val="0"/>
          <w:sz w:val="28"/>
          <w:szCs w:val="28"/>
          <w:highlight w:val="none"/>
          <w:u w:val="single"/>
          <w:lang w:val="en-US" w:eastAsia="zh-CN"/>
        </w:rPr>
        <w:t xml:space="preserve"> 陆 </w:t>
      </w:r>
      <w:r>
        <w:rPr>
          <w:rFonts w:hint="eastAsia" w:ascii="仿宋" w:hAnsi="仿宋" w:eastAsia="仿宋" w:cs="仿宋"/>
          <w:snapToGrid w:val="0"/>
          <w:color w:val="auto"/>
          <w:kern w:val="0"/>
          <w:sz w:val="28"/>
          <w:szCs w:val="28"/>
          <w:highlight w:val="none"/>
          <w:lang w:val="en-US" w:eastAsia="zh-CN"/>
        </w:rPr>
        <w:t>份，甲乙双方各执</w:t>
      </w:r>
      <w:r>
        <w:rPr>
          <w:rFonts w:hint="eastAsia" w:ascii="仿宋" w:hAnsi="仿宋" w:eastAsia="仿宋" w:cs="仿宋"/>
          <w:snapToGrid w:val="0"/>
          <w:color w:val="auto"/>
          <w:spacing w:val="0"/>
          <w:kern w:val="0"/>
          <w:sz w:val="28"/>
          <w:szCs w:val="28"/>
          <w:highlight w:val="none"/>
          <w:u w:val="single"/>
          <w:lang w:val="en-US" w:eastAsia="zh-CN"/>
        </w:rPr>
        <w:t xml:space="preserve"> 叁 </w:t>
      </w:r>
      <w:r>
        <w:rPr>
          <w:rFonts w:hint="eastAsia" w:ascii="仿宋" w:hAnsi="仿宋" w:eastAsia="仿宋" w:cs="仿宋"/>
          <w:snapToGrid w:val="0"/>
          <w:color w:val="auto"/>
          <w:kern w:val="0"/>
          <w:sz w:val="28"/>
          <w:szCs w:val="28"/>
          <w:highlight w:val="none"/>
          <w:lang w:val="en-US" w:eastAsia="zh-CN"/>
        </w:rPr>
        <w:t>份。</w:t>
      </w:r>
    </w:p>
    <w:p w14:paraId="47761754">
      <w:pPr>
        <w:keepNext w:val="0"/>
        <w:keepLines w:val="0"/>
        <w:pageBreakBefore w:val="0"/>
        <w:widowControl/>
        <w:kinsoku/>
        <w:wordWrap/>
        <w:overflowPunct/>
        <w:topLinePunct w:val="0"/>
        <w:autoSpaceDE/>
        <w:autoSpaceDN/>
        <w:bidi w:val="0"/>
        <w:adjustRightInd/>
        <w:snapToGrid/>
        <w:spacing w:line="480" w:lineRule="exact"/>
        <w:ind w:left="0" w:right="0" w:firstLine="560" w:firstLineChars="200"/>
        <w:jc w:val="left"/>
        <w:textAlignment w:val="auto"/>
        <w:rPr>
          <w:rFonts w:hint="eastAsia" w:ascii="仿宋" w:hAnsi="仿宋" w:eastAsia="仿宋" w:cs="仿宋"/>
          <w:snapToGrid w:val="0"/>
          <w:color w:val="auto"/>
          <w:kern w:val="0"/>
          <w:sz w:val="28"/>
          <w:szCs w:val="28"/>
          <w:highlight w:val="none"/>
        </w:rPr>
      </w:pPr>
    </w:p>
    <w:p w14:paraId="2A8611B8">
      <w:pPr>
        <w:keepNext w:val="0"/>
        <w:keepLines w:val="0"/>
        <w:pageBreakBefore w:val="0"/>
        <w:widowControl/>
        <w:kinsoku/>
        <w:wordWrap/>
        <w:overflowPunct/>
        <w:topLinePunct w:val="0"/>
        <w:autoSpaceDE/>
        <w:autoSpaceDN/>
        <w:bidi w:val="0"/>
        <w:adjustRightInd/>
        <w:snapToGrid/>
        <w:spacing w:line="480" w:lineRule="exact"/>
        <w:ind w:left="0" w:right="0" w:firstLine="560" w:firstLineChars="200"/>
        <w:jc w:val="left"/>
        <w:textAlignment w:val="auto"/>
        <w:rPr>
          <w:rFonts w:hint="eastAsia" w:ascii="仿宋" w:hAnsi="仿宋" w:eastAsia="仿宋" w:cs="仿宋"/>
          <w:snapToGrid w:val="0"/>
          <w:color w:val="auto"/>
          <w:kern w:val="0"/>
          <w:sz w:val="28"/>
          <w:szCs w:val="28"/>
          <w:highlight w:val="none"/>
        </w:rPr>
      </w:pPr>
    </w:p>
    <w:p w14:paraId="1B76A0E4">
      <w:pPr>
        <w:keepNext w:val="0"/>
        <w:keepLines w:val="0"/>
        <w:pageBreakBefore w:val="0"/>
        <w:widowControl/>
        <w:kinsoku/>
        <w:wordWrap/>
        <w:overflowPunct/>
        <w:topLinePunct w:val="0"/>
        <w:autoSpaceDE/>
        <w:autoSpaceDN/>
        <w:bidi w:val="0"/>
        <w:adjustRightInd/>
        <w:snapToGrid/>
        <w:spacing w:line="480" w:lineRule="exact"/>
        <w:ind w:left="0" w:right="0" w:firstLine="560" w:firstLineChars="200"/>
        <w:jc w:val="left"/>
        <w:textAlignment w:val="auto"/>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kern w:val="0"/>
          <w:sz w:val="28"/>
          <w:szCs w:val="28"/>
          <w:highlight w:val="none"/>
          <w:lang w:eastAsia="zh-CN"/>
        </w:rPr>
        <w:t>甲方：（盖章）</w:t>
      </w:r>
      <w:r>
        <w:rPr>
          <w:rFonts w:hint="eastAsia" w:ascii="仿宋" w:hAnsi="仿宋" w:eastAsia="仿宋" w:cs="仿宋"/>
          <w:snapToGrid w:val="0"/>
          <w:color w:val="auto"/>
          <w:kern w:val="0"/>
          <w:sz w:val="28"/>
          <w:szCs w:val="28"/>
          <w:highlight w:val="none"/>
          <w:lang w:val="en-US" w:eastAsia="zh-CN"/>
        </w:rPr>
        <w:t xml:space="preserve">               </w:t>
      </w:r>
      <w:r>
        <w:rPr>
          <w:rFonts w:hint="eastAsia" w:ascii="仿宋" w:hAnsi="仿宋" w:eastAsia="仿宋" w:cs="仿宋"/>
          <w:snapToGrid w:val="0"/>
          <w:color w:val="auto"/>
          <w:kern w:val="0"/>
          <w:sz w:val="28"/>
          <w:szCs w:val="28"/>
          <w:highlight w:val="none"/>
          <w:lang w:eastAsia="zh-CN"/>
        </w:rPr>
        <w:t>乙方：</w:t>
      </w:r>
      <w:r>
        <w:rPr>
          <w:rFonts w:hint="eastAsia" w:ascii="仿宋" w:hAnsi="仿宋" w:eastAsia="仿宋" w:cs="仿宋"/>
          <w:snapToGrid w:val="0"/>
          <w:color w:val="auto"/>
          <w:kern w:val="0"/>
          <w:sz w:val="28"/>
          <w:szCs w:val="28"/>
          <w:highlight w:val="none"/>
        </w:rPr>
        <w:t>（</w:t>
      </w:r>
      <w:r>
        <w:rPr>
          <w:rFonts w:hint="eastAsia" w:ascii="仿宋" w:hAnsi="仿宋" w:eastAsia="仿宋" w:cs="仿宋"/>
          <w:snapToGrid w:val="0"/>
          <w:color w:val="auto"/>
          <w:kern w:val="0"/>
          <w:sz w:val="28"/>
          <w:szCs w:val="28"/>
          <w:highlight w:val="none"/>
          <w:lang w:eastAsia="zh-CN"/>
        </w:rPr>
        <w:t>盖章</w:t>
      </w:r>
      <w:r>
        <w:rPr>
          <w:rFonts w:hint="eastAsia" w:ascii="仿宋" w:hAnsi="仿宋" w:eastAsia="仿宋" w:cs="仿宋"/>
          <w:snapToGrid w:val="0"/>
          <w:color w:val="auto"/>
          <w:kern w:val="0"/>
          <w:sz w:val="28"/>
          <w:szCs w:val="28"/>
          <w:highlight w:val="none"/>
        </w:rPr>
        <w:t>）</w:t>
      </w:r>
    </w:p>
    <w:p w14:paraId="34F58695">
      <w:pPr>
        <w:keepNext w:val="0"/>
        <w:keepLines w:val="0"/>
        <w:pageBreakBefore w:val="0"/>
        <w:widowControl/>
        <w:kinsoku/>
        <w:wordWrap/>
        <w:overflowPunct/>
        <w:topLinePunct w:val="0"/>
        <w:autoSpaceDE/>
        <w:autoSpaceDN/>
        <w:bidi w:val="0"/>
        <w:adjustRightInd/>
        <w:snapToGrid/>
        <w:spacing w:line="480" w:lineRule="exact"/>
        <w:ind w:left="0" w:right="0" w:firstLine="560" w:firstLineChars="200"/>
        <w:jc w:val="left"/>
        <w:textAlignment w:val="auto"/>
        <w:rPr>
          <w:rFonts w:hint="eastAsia" w:ascii="仿宋" w:hAnsi="仿宋" w:eastAsia="仿宋" w:cs="仿宋"/>
          <w:snapToGrid w:val="0"/>
          <w:color w:val="auto"/>
          <w:kern w:val="0"/>
          <w:sz w:val="28"/>
          <w:szCs w:val="28"/>
          <w:highlight w:val="none"/>
          <w:lang w:eastAsia="zh-CN"/>
        </w:rPr>
      </w:pPr>
      <w:r>
        <w:rPr>
          <w:rFonts w:hint="eastAsia" w:ascii="仿宋" w:hAnsi="仿宋" w:eastAsia="仿宋" w:cs="仿宋"/>
          <w:snapToGrid w:val="0"/>
          <w:color w:val="auto"/>
          <w:kern w:val="0"/>
          <w:sz w:val="28"/>
          <w:szCs w:val="28"/>
          <w:highlight w:val="none"/>
          <w:lang w:eastAsia="zh-CN"/>
        </w:rPr>
        <w:t>法定代表人：</w:t>
      </w:r>
      <w:r>
        <w:rPr>
          <w:rFonts w:hint="eastAsia" w:ascii="仿宋" w:hAnsi="仿宋" w:eastAsia="仿宋" w:cs="仿宋"/>
          <w:snapToGrid w:val="0"/>
          <w:color w:val="auto"/>
          <w:kern w:val="0"/>
          <w:sz w:val="28"/>
          <w:szCs w:val="28"/>
          <w:highlight w:val="none"/>
          <w:lang w:val="en-US" w:eastAsia="zh-CN"/>
        </w:rPr>
        <w:t xml:space="preserve">                 </w:t>
      </w:r>
      <w:r>
        <w:rPr>
          <w:rFonts w:hint="eastAsia" w:ascii="仿宋" w:hAnsi="仿宋" w:eastAsia="仿宋" w:cs="仿宋"/>
          <w:snapToGrid w:val="0"/>
          <w:color w:val="auto"/>
          <w:kern w:val="0"/>
          <w:sz w:val="28"/>
          <w:szCs w:val="28"/>
          <w:highlight w:val="none"/>
          <w:lang w:eastAsia="zh-CN"/>
        </w:rPr>
        <w:t>法定代表人：</w:t>
      </w:r>
    </w:p>
    <w:p w14:paraId="5DC33BD9">
      <w:pPr>
        <w:keepNext w:val="0"/>
        <w:keepLines w:val="0"/>
        <w:pageBreakBefore w:val="0"/>
        <w:widowControl/>
        <w:kinsoku/>
        <w:wordWrap/>
        <w:overflowPunct/>
        <w:topLinePunct w:val="0"/>
        <w:autoSpaceDE/>
        <w:autoSpaceDN/>
        <w:bidi w:val="0"/>
        <w:adjustRightInd/>
        <w:snapToGrid/>
        <w:spacing w:line="480" w:lineRule="exact"/>
        <w:ind w:left="0" w:right="0" w:firstLine="560" w:firstLineChars="200"/>
        <w:jc w:val="left"/>
        <w:textAlignment w:val="auto"/>
        <w:rPr>
          <w:rFonts w:hint="eastAsia" w:ascii="仿宋" w:hAnsi="仿宋" w:eastAsia="仿宋" w:cs="仿宋"/>
          <w:snapToGrid w:val="0"/>
          <w:color w:val="auto"/>
          <w:kern w:val="0"/>
          <w:sz w:val="28"/>
          <w:szCs w:val="28"/>
          <w:highlight w:val="none"/>
          <w:lang w:val="en-US" w:eastAsia="zh-CN"/>
        </w:rPr>
      </w:pPr>
    </w:p>
    <w:p w14:paraId="38A41218">
      <w:pPr>
        <w:keepNext w:val="0"/>
        <w:keepLines w:val="0"/>
        <w:pageBreakBefore w:val="0"/>
        <w:kinsoku/>
        <w:wordWrap/>
        <w:overflowPunct/>
        <w:topLinePunct w:val="0"/>
        <w:autoSpaceDE/>
        <w:autoSpaceDN/>
        <w:bidi w:val="0"/>
        <w:spacing w:line="480" w:lineRule="exact"/>
        <w:ind w:left="0" w:right="0" w:firstLine="560" w:firstLineChars="200"/>
        <w:rPr>
          <w:rFonts w:ascii="Times New Roman" w:hAnsi="Times New Roman" w:eastAsia="宋体" w:cs="Times New Roman"/>
          <w:sz w:val="24"/>
        </w:rPr>
      </w:pPr>
      <w:r>
        <w:rPr>
          <w:rFonts w:hint="eastAsia" w:ascii="仿宋" w:hAnsi="仿宋" w:eastAsia="仿宋" w:cs="仿宋"/>
          <w:snapToGrid w:val="0"/>
          <w:color w:val="auto"/>
          <w:kern w:val="0"/>
          <w:sz w:val="28"/>
          <w:szCs w:val="28"/>
          <w:highlight w:val="none"/>
        </w:rPr>
        <w:t>签署日期：</w:t>
      </w:r>
      <w:r>
        <w:rPr>
          <w:rFonts w:hint="eastAsia" w:ascii="仿宋" w:hAnsi="仿宋" w:eastAsia="仿宋" w:cs="仿宋"/>
          <w:snapToGrid w:val="0"/>
          <w:color w:val="auto"/>
          <w:kern w:val="0"/>
          <w:sz w:val="28"/>
          <w:szCs w:val="28"/>
          <w:highlight w:val="none"/>
          <w:lang w:val="en-US" w:eastAsia="zh-CN"/>
        </w:rPr>
        <w:t xml:space="preserve">  </w:t>
      </w:r>
    </w:p>
    <w:p w14:paraId="67315402">
      <w:pPr>
        <w:keepNext w:val="0"/>
        <w:pageBreakBefore w:val="0"/>
        <w:overflowPunct/>
        <w:topLinePunct w:val="0"/>
        <w:autoSpaceDE/>
        <w:autoSpaceDN/>
        <w:bidi w:val="0"/>
        <w:spacing w:line="480" w:lineRule="exact"/>
        <w:ind w:left="0" w:right="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br w:type="page"/>
      </w:r>
    </w:p>
    <w:p w14:paraId="50113686">
      <w:pPr>
        <w:keepNext w:val="0"/>
        <w:keepLines w:val="0"/>
        <w:pageBreakBefore w:val="0"/>
        <w:overflowPunct/>
        <w:topLinePunct w:val="0"/>
        <w:autoSpaceDE/>
        <w:autoSpaceDN/>
        <w:bidi w:val="0"/>
        <w:snapToGrid/>
        <w:spacing w:line="480" w:lineRule="exact"/>
        <w:ind w:left="0" w:right="0" w:firstLine="480" w:firstLineChars="200"/>
        <w:jc w:val="left"/>
        <w:rPr>
          <w:rFonts w:hint="eastAsia" w:ascii="Times New Roman" w:hAnsi="Times New Roman" w:eastAsia="宋体" w:cs="Times New Roman"/>
          <w:color w:val="auto"/>
          <w:sz w:val="24"/>
          <w:szCs w:val="24"/>
          <w:highlight w:val="none"/>
          <w:lang w:val="en-US" w:eastAsia="zh-CN"/>
        </w:rPr>
      </w:pPr>
      <w:r>
        <w:rPr>
          <w:rFonts w:hint="eastAsia" w:ascii="黑体" w:hAnsi="黑体" w:eastAsia="黑体" w:cs="黑体"/>
          <w:color w:val="auto"/>
          <w:kern w:val="2"/>
          <w:sz w:val="24"/>
          <w:szCs w:val="24"/>
          <w:highlight w:val="none"/>
          <w:lang w:val="en-US" w:eastAsia="zh-CN"/>
        </w:rPr>
        <w:t>附件2：</w:t>
      </w:r>
    </w:p>
    <w:p w14:paraId="4791C218">
      <w:pPr>
        <w:keepNext w:val="0"/>
        <w:keepLines w:val="0"/>
        <w:pageBreakBefore w:val="0"/>
        <w:widowControl w:val="0"/>
        <w:kinsoku/>
        <w:wordWrap/>
        <w:overflowPunct/>
        <w:topLinePunct w:val="0"/>
        <w:autoSpaceDE/>
        <w:autoSpaceDN/>
        <w:bidi w:val="0"/>
        <w:adjustRightInd/>
        <w:snapToGrid/>
        <w:spacing w:line="480" w:lineRule="exact"/>
        <w:ind w:left="0" w:right="0" w:firstLine="0" w:firstLineChars="0"/>
        <w:jc w:val="center"/>
        <w:textAlignment w:val="auto"/>
        <w:rPr>
          <w:rFonts w:hint="eastAsia" w:ascii="Times New Roman" w:hAnsi="Times New Roman" w:eastAsia="宋体" w:cs="Times New Roman"/>
          <w:b/>
          <w:bCs/>
          <w:color w:val="auto"/>
          <w:sz w:val="32"/>
          <w:szCs w:val="32"/>
          <w:highlight w:val="none"/>
        </w:rPr>
      </w:pPr>
      <w:r>
        <w:rPr>
          <w:rFonts w:hint="default" w:ascii="Times New Roman" w:hAnsi="Times New Roman" w:eastAsia="宋体" w:cs="Times New Roman"/>
          <w:b/>
          <w:bCs/>
          <w:color w:val="auto"/>
          <w:sz w:val="32"/>
          <w:szCs w:val="32"/>
          <w:highlight w:val="none"/>
        </w:rPr>
        <w:t>安全生产管理协议书</w:t>
      </w:r>
    </w:p>
    <w:p w14:paraId="025933F2">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rPr>
        <w:t>甲方：（单位全称）</w:t>
      </w:r>
      <w:r>
        <w:rPr>
          <w:rFonts w:hint="eastAsia" w:ascii="宋体" w:hAnsi="宋体" w:eastAsia="宋体" w:cs="宋体"/>
          <w:color w:val="auto"/>
          <w:sz w:val="24"/>
          <w:szCs w:val="24"/>
          <w:highlight w:val="none"/>
          <w:u w:val="none"/>
          <w:lang w:val="en-US" w:eastAsia="zh-CN"/>
        </w:rPr>
        <w:t xml:space="preserve">                 </w:t>
      </w:r>
    </w:p>
    <w:p w14:paraId="1D7737C9">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rPr>
        <w:t>乙方：（单位全称）</w:t>
      </w:r>
      <w:r>
        <w:rPr>
          <w:rFonts w:hint="eastAsia" w:ascii="宋体" w:hAnsi="宋体" w:eastAsia="宋体" w:cs="宋体"/>
          <w:color w:val="auto"/>
          <w:sz w:val="24"/>
          <w:szCs w:val="24"/>
          <w:highlight w:val="none"/>
          <w:u w:val="none"/>
          <w:lang w:val="en-US" w:eastAsia="zh-CN"/>
        </w:rPr>
        <w:t xml:space="preserve">                 </w:t>
      </w:r>
    </w:p>
    <w:p w14:paraId="7EB10888">
      <w:pPr>
        <w:keepNext w:val="0"/>
        <w:pageBreakBefore w:val="0"/>
        <w:overflowPunct/>
        <w:topLinePunct w:val="0"/>
        <w:autoSpaceDE/>
        <w:autoSpaceDN/>
        <w:bidi w:val="0"/>
        <w:spacing w:line="480" w:lineRule="exact"/>
        <w:ind w:left="0" w:right="0" w:firstLine="480" w:firstLineChars="200"/>
        <w:rPr>
          <w:rFonts w:hint="eastAsia" w:ascii="宋体" w:hAnsi="宋体" w:eastAsia="宋体" w:cs="宋体"/>
          <w:color w:val="auto"/>
          <w:sz w:val="24"/>
          <w:szCs w:val="24"/>
          <w:highlight w:val="none"/>
        </w:rPr>
      </w:pPr>
    </w:p>
    <w:p w14:paraId="3F5D8FF0">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为切实落实安全生产责任，确保</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highlight w:val="none"/>
        </w:rPr>
        <w:t>晋安湖公园水上娱乐业态短期经营服务合同</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项目（以下简称“本项目”）</w:t>
      </w:r>
      <w:r>
        <w:rPr>
          <w:rFonts w:hint="eastAsia" w:ascii="宋体" w:hAnsi="宋体" w:eastAsia="宋体" w:cs="宋体"/>
          <w:color w:val="auto"/>
          <w:sz w:val="24"/>
          <w:szCs w:val="24"/>
          <w:highlight w:val="none"/>
        </w:rPr>
        <w:t>作业过程中的安全生产管理工作，根据《中华人民共和国安全生产法》《建设工程安全生产管理条例》《福建省安全生产条例》等相关法律法规，经</w:t>
      </w:r>
      <w:r>
        <w:rPr>
          <w:rFonts w:hint="eastAsia" w:ascii="宋体" w:hAnsi="宋体" w:eastAsia="宋体" w:cs="宋体"/>
          <w:color w:val="auto"/>
          <w:sz w:val="24"/>
          <w:szCs w:val="24"/>
          <w:highlight w:val="none"/>
          <w:lang w:val="en-US" w:eastAsia="zh-CN"/>
        </w:rPr>
        <w:t>双</w:t>
      </w:r>
      <w:r>
        <w:rPr>
          <w:rFonts w:hint="eastAsia" w:ascii="宋体" w:hAnsi="宋体" w:eastAsia="宋体" w:cs="宋体"/>
          <w:color w:val="auto"/>
          <w:sz w:val="24"/>
          <w:szCs w:val="24"/>
          <w:highlight w:val="none"/>
        </w:rPr>
        <w:t>方协商，一致同意达成如下协议，并保证严格遵守。</w:t>
      </w:r>
    </w:p>
    <w:p w14:paraId="1DA4C8F0">
      <w:pPr>
        <w:keepNext w:val="0"/>
        <w:pageBreakBefore w:val="0"/>
        <w:overflowPunct/>
        <w:topLinePunct w:val="0"/>
        <w:autoSpaceDE/>
        <w:autoSpaceDN/>
        <w:bidi w:val="0"/>
        <w:snapToGrid/>
        <w:spacing w:line="480" w:lineRule="exact"/>
        <w:ind w:left="0" w:right="0" w:firstLine="480" w:firstLineChars="200"/>
        <w:outlineLvl w:val="9"/>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一、</w:t>
      </w:r>
      <w:r>
        <w:rPr>
          <w:rFonts w:hint="eastAsia" w:ascii="宋体" w:hAnsi="宋体" w:eastAsia="宋体" w:cs="宋体"/>
          <w:b w:val="0"/>
          <w:color w:val="auto"/>
          <w:sz w:val="24"/>
          <w:szCs w:val="24"/>
          <w:highlight w:val="none"/>
          <w:lang w:val="en-US" w:eastAsia="zh-CN"/>
        </w:rPr>
        <w:t>双</w:t>
      </w:r>
      <w:r>
        <w:rPr>
          <w:rFonts w:hint="eastAsia" w:ascii="宋体" w:hAnsi="宋体" w:eastAsia="宋体" w:cs="宋体"/>
          <w:b w:val="0"/>
          <w:color w:val="auto"/>
          <w:sz w:val="24"/>
          <w:szCs w:val="24"/>
          <w:highlight w:val="none"/>
        </w:rPr>
        <w:t>方联络人</w:t>
      </w:r>
    </w:p>
    <w:p w14:paraId="03DB440F">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甲乙</w:t>
      </w:r>
      <w:r>
        <w:rPr>
          <w:rFonts w:hint="eastAsia" w:ascii="宋体" w:hAnsi="宋体" w:eastAsia="宋体" w:cs="宋体"/>
          <w:color w:val="auto"/>
          <w:sz w:val="24"/>
          <w:szCs w:val="24"/>
          <w:highlight w:val="none"/>
          <w:lang w:val="en-US" w:eastAsia="zh-CN"/>
        </w:rPr>
        <w:t>双</w:t>
      </w:r>
      <w:r>
        <w:rPr>
          <w:rFonts w:hint="eastAsia" w:ascii="宋体" w:hAnsi="宋体" w:eastAsia="宋体" w:cs="宋体"/>
          <w:color w:val="auto"/>
          <w:sz w:val="24"/>
          <w:szCs w:val="24"/>
          <w:highlight w:val="none"/>
        </w:rPr>
        <w:t>方按职责分工抓好落实安全生产管理工作。甲方指派</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none"/>
        </w:rPr>
        <w:t xml:space="preserve">  ***  </w:t>
      </w:r>
      <w:r>
        <w:rPr>
          <w:rFonts w:hint="eastAsia" w:ascii="宋体" w:hAnsi="宋体" w:eastAsia="宋体" w:cs="宋体"/>
          <w:color w:val="auto"/>
          <w:sz w:val="24"/>
          <w:szCs w:val="24"/>
          <w:highlight w:val="none"/>
        </w:rPr>
        <w:t>，负责</w:t>
      </w:r>
      <w:r>
        <w:rPr>
          <w:rFonts w:hint="eastAsia" w:ascii="宋体" w:hAnsi="宋体" w:eastAsia="宋体" w:cs="宋体"/>
          <w:color w:val="auto"/>
          <w:sz w:val="24"/>
          <w:szCs w:val="24"/>
          <w:highlight w:val="none"/>
          <w:u w:val="none"/>
          <w:lang w:eastAsia="zh-CN"/>
        </w:rPr>
        <w:t>本</w:t>
      </w:r>
      <w:r>
        <w:rPr>
          <w:rFonts w:hint="eastAsia" w:ascii="宋体" w:hAnsi="宋体" w:eastAsia="宋体" w:cs="宋体"/>
          <w:color w:val="auto"/>
          <w:sz w:val="24"/>
          <w:szCs w:val="24"/>
          <w:highlight w:val="none"/>
        </w:rPr>
        <w:t>项目的安全生产监管工作。乙方指派</w:t>
      </w:r>
      <w:r>
        <w:rPr>
          <w:rFonts w:hint="eastAsia" w:ascii="宋体" w:hAnsi="宋体" w:eastAsia="宋体" w:cs="宋体"/>
          <w:color w:val="auto"/>
          <w:sz w:val="24"/>
          <w:szCs w:val="24"/>
          <w:highlight w:val="none"/>
          <w:u w:val="none"/>
        </w:rPr>
        <w:t xml:space="preserve">  ***  </w:t>
      </w: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none"/>
        </w:rPr>
        <w:t xml:space="preserve">  ***  </w:t>
      </w:r>
      <w:r>
        <w:rPr>
          <w:rFonts w:hint="eastAsia" w:ascii="宋体" w:hAnsi="宋体" w:eastAsia="宋体" w:cs="宋体"/>
          <w:color w:val="auto"/>
          <w:sz w:val="24"/>
          <w:szCs w:val="24"/>
          <w:highlight w:val="none"/>
        </w:rPr>
        <w:t>，负责本项目的安全生产工作，并接受甲方的监督管理。</w:t>
      </w:r>
    </w:p>
    <w:p w14:paraId="699A425C">
      <w:pPr>
        <w:keepNext w:val="0"/>
        <w:pageBreakBefore w:val="0"/>
        <w:overflowPunct/>
        <w:topLinePunct w:val="0"/>
        <w:autoSpaceDE/>
        <w:autoSpaceDN/>
        <w:bidi w:val="0"/>
        <w:snapToGrid/>
        <w:spacing w:line="480" w:lineRule="exact"/>
        <w:ind w:left="0" w:right="0" w:firstLine="480" w:firstLineChars="200"/>
        <w:outlineLvl w:val="9"/>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二、甲方的安全责任、权利和义务 </w:t>
      </w:r>
    </w:p>
    <w:p w14:paraId="159FBD0D">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1、甲方有权对本项目现场含乙方在内的多家单位进行安全生产工作的统一协调、管理，对乙方在作业场所内实施的行为的安全性给予监督和检查。</w:t>
      </w:r>
      <w:r>
        <w:rPr>
          <w:rFonts w:hint="eastAsia" w:ascii="宋体" w:hAnsi="宋体" w:eastAsia="宋体" w:cs="宋体"/>
          <w:color w:val="auto"/>
          <w:sz w:val="24"/>
          <w:szCs w:val="24"/>
          <w:highlight w:val="none"/>
          <w:lang w:val="en-US" w:eastAsia="zh-CN"/>
        </w:rPr>
        <w:t>有权督促指导乙方在进场前开展危险作业风险辨识，形成危险作业工序清单，并据此清单督促乙方按各自职责落实安全管理责任。</w:t>
      </w:r>
    </w:p>
    <w:p w14:paraId="4D12B875">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、对于乙方不符合甲方安全要求或不遵守相关安全法律法规</w:t>
      </w:r>
      <w:r>
        <w:rPr>
          <w:rFonts w:hint="eastAsia" w:ascii="宋体" w:hAnsi="宋体" w:eastAsia="宋体" w:cs="宋体"/>
          <w:color w:val="auto"/>
          <w:sz w:val="24"/>
          <w:szCs w:val="24"/>
          <w:highlight w:val="none"/>
          <w:lang w:eastAsia="zh-CN"/>
        </w:rPr>
        <w:t>或不符合本协议约定</w:t>
      </w:r>
      <w:r>
        <w:rPr>
          <w:rFonts w:hint="eastAsia" w:ascii="宋体" w:hAnsi="宋体" w:eastAsia="宋体" w:cs="宋体"/>
          <w:color w:val="auto"/>
          <w:sz w:val="24"/>
          <w:szCs w:val="24"/>
          <w:highlight w:val="none"/>
        </w:rPr>
        <w:t>的行为，甲方有权制止</w:t>
      </w:r>
      <w:r>
        <w:rPr>
          <w:rFonts w:hint="eastAsia" w:ascii="宋体" w:hAnsi="宋体" w:eastAsia="宋体" w:cs="宋体"/>
          <w:color w:val="auto"/>
          <w:sz w:val="24"/>
          <w:szCs w:val="24"/>
          <w:highlight w:val="none"/>
          <w:lang w:val="en-US" w:eastAsia="zh-CN"/>
        </w:rPr>
        <w:t>并</w:t>
      </w:r>
      <w:r>
        <w:rPr>
          <w:rFonts w:hint="eastAsia" w:ascii="宋体" w:hAnsi="宋体" w:eastAsia="宋体" w:cs="宋体"/>
          <w:color w:val="auto"/>
          <w:sz w:val="24"/>
          <w:szCs w:val="24"/>
          <w:highlight w:val="none"/>
        </w:rPr>
        <w:t>责令其限期整改</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停工整顿；对于乙方的违</w:t>
      </w:r>
      <w:r>
        <w:rPr>
          <w:rFonts w:hint="eastAsia" w:ascii="宋体" w:hAnsi="宋体" w:eastAsia="宋体" w:cs="宋体"/>
          <w:color w:val="auto"/>
          <w:sz w:val="24"/>
          <w:szCs w:val="24"/>
          <w:highlight w:val="none"/>
          <w:lang w:eastAsia="zh-CN"/>
        </w:rPr>
        <w:t>约</w:t>
      </w:r>
      <w:r>
        <w:rPr>
          <w:rFonts w:hint="eastAsia" w:ascii="宋体" w:hAnsi="宋体" w:eastAsia="宋体" w:cs="宋体"/>
          <w:color w:val="auto"/>
          <w:sz w:val="24"/>
          <w:szCs w:val="24"/>
          <w:highlight w:val="none"/>
        </w:rPr>
        <w:t>行为，甲方有</w:t>
      </w:r>
      <w:r>
        <w:rPr>
          <w:rFonts w:hint="eastAsia" w:ascii="宋体" w:hAnsi="宋体" w:eastAsia="宋体" w:cs="宋体"/>
          <w:color w:val="auto"/>
          <w:sz w:val="24"/>
          <w:szCs w:val="24"/>
          <w:highlight w:val="none"/>
          <w:lang w:val="en-US" w:eastAsia="zh-CN"/>
        </w:rPr>
        <w:t>权按照约定</w:t>
      </w:r>
      <w:r>
        <w:rPr>
          <w:rFonts w:hint="eastAsia" w:ascii="宋体" w:hAnsi="宋体" w:eastAsia="宋体" w:cs="宋体"/>
          <w:color w:val="auto"/>
          <w:sz w:val="24"/>
          <w:szCs w:val="24"/>
          <w:highlight w:val="none"/>
        </w:rPr>
        <w:t>进行经济处罚</w:t>
      </w:r>
      <w:r>
        <w:rPr>
          <w:rFonts w:hint="eastAsia" w:ascii="宋体" w:hAnsi="宋体" w:eastAsia="宋体" w:cs="宋体"/>
          <w:color w:val="auto"/>
          <w:sz w:val="24"/>
          <w:szCs w:val="24"/>
          <w:highlight w:val="none"/>
          <w:lang w:eastAsia="zh-CN"/>
        </w:rPr>
        <w:t>。</w:t>
      </w:r>
    </w:p>
    <w:p w14:paraId="75A17850">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对乙方</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rPr>
        <w:t>违反安全生产法律法规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达不到安全生产条件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存在重大安全隐患或发生安全生产事故等行为，甲方可要求乙方限期更换人员或退场，甲方有权单方终止本项目所有合同，所造成的经济损失和一切后果由乙方承担。  </w:t>
      </w:r>
    </w:p>
    <w:p w14:paraId="60BA68BA">
      <w:pPr>
        <w:keepNext w:val="0"/>
        <w:pageBreakBefore w:val="0"/>
        <w:overflowPunct/>
        <w:topLinePunct w:val="0"/>
        <w:autoSpaceDE/>
        <w:autoSpaceDN/>
        <w:bidi w:val="0"/>
        <w:snapToGrid/>
        <w:spacing w:line="480" w:lineRule="exact"/>
        <w:ind w:left="0" w:right="0" w:firstLine="480" w:firstLineChars="200"/>
        <w:outlineLvl w:val="9"/>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三、乙方的安全责任、权利和义务 </w:t>
      </w:r>
    </w:p>
    <w:p w14:paraId="043BD7DA">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必须遵守《安全生产法》《消防法》《建设工程安全生产管理条例》《福建省安全生产条例》《建筑施工安全检查标准》等各类国家和地方性的有关安全生产的法律法规及标准规范，同时应遵守福州水务集团有限公司、</w:t>
      </w:r>
      <w:r>
        <w:rPr>
          <w:rFonts w:hint="eastAsia" w:ascii="宋体" w:hAnsi="宋体" w:eastAsia="宋体" w:cs="宋体"/>
          <w:color w:val="auto"/>
          <w:sz w:val="24"/>
          <w:szCs w:val="24"/>
          <w:highlight w:val="none"/>
          <w:lang w:val="en-US" w:eastAsia="zh-CN"/>
        </w:rPr>
        <w:t>福州市水务文化旅游有限公司</w:t>
      </w:r>
      <w:r>
        <w:rPr>
          <w:rFonts w:hint="eastAsia" w:ascii="宋体" w:hAnsi="宋体" w:eastAsia="宋体" w:cs="宋体"/>
          <w:color w:val="auto"/>
          <w:sz w:val="24"/>
          <w:szCs w:val="24"/>
          <w:highlight w:val="none"/>
        </w:rPr>
        <w:t>等一系列安全生产体系规章制度。</w:t>
      </w:r>
    </w:p>
    <w:p w14:paraId="2A21DB61">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shd w:val="clear" w:color="auto" w:fill="auto"/>
        </w:rPr>
        <w:t>、</w:t>
      </w:r>
      <w:r>
        <w:rPr>
          <w:rFonts w:hint="eastAsia" w:ascii="宋体" w:hAnsi="宋体" w:eastAsia="宋体" w:cs="宋体"/>
          <w:color w:val="auto"/>
          <w:sz w:val="24"/>
          <w:szCs w:val="24"/>
          <w:highlight w:val="none"/>
        </w:rPr>
        <w:t>乙方承诺具备实施本项目的资质和能力，具备安全生产条件。乙方必须建立完整的安全保障体系和风险辨识分级管控与隐患排查治理体系，</w:t>
      </w:r>
      <w:r>
        <w:rPr>
          <w:rFonts w:hint="eastAsia" w:ascii="宋体" w:hAnsi="宋体" w:eastAsia="宋体" w:cs="宋体"/>
          <w:color w:val="auto"/>
          <w:sz w:val="24"/>
          <w:szCs w:val="24"/>
          <w:highlight w:val="none"/>
          <w:lang w:val="en-US" w:eastAsia="zh-CN"/>
        </w:rPr>
        <w:t>进场施工前，服从甲方指导，开展风险辨识并形成危险作业工序清单，</w:t>
      </w:r>
      <w:r>
        <w:rPr>
          <w:rFonts w:hint="eastAsia" w:ascii="宋体" w:hAnsi="宋体" w:eastAsia="宋体" w:cs="宋体"/>
          <w:color w:val="auto"/>
          <w:sz w:val="24"/>
          <w:szCs w:val="24"/>
          <w:highlight w:val="none"/>
        </w:rPr>
        <w:t>并有效落实风险防范措施；乙方必须按照本项目特点，组织制定本项目实施中的现场管理及应急处置方案，制定生产安全事故应急救援预案等，并严格执行。</w:t>
      </w:r>
    </w:p>
    <w:p w14:paraId="1393ADF8">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3、乙方法定代表人/负责人对乙方的安全生产工作全面负责。</w:t>
      </w:r>
    </w:p>
    <w:p w14:paraId="06D76AFC">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乙方应配备专职的项目负责人、技术负责人、安全生产管理员等人员，对本项目的作业场所以及所涉及分包、协作等单位进行安全生产管理和监督检查，并对分包、协作等单位的安全生产负全责。乙方应服从甲方的安全生产管理，严格遵守甲方及甲方上级及行业主管单位制定的安全生产规章制度。</w:t>
      </w:r>
    </w:p>
    <w:p w14:paraId="4C041531">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3.2乙方应当设立安全生产管理机构，配备专职安全生产管理人员，专职安全生产管理人员每天在</w:t>
      </w:r>
      <w:r>
        <w:rPr>
          <w:rFonts w:hint="eastAsia" w:ascii="宋体" w:hAnsi="宋体" w:eastAsia="宋体" w:cs="宋体"/>
          <w:color w:val="auto"/>
          <w:sz w:val="24"/>
          <w:szCs w:val="24"/>
          <w:highlight w:val="none"/>
          <w:lang w:val="en-US" w:eastAsia="zh-CN"/>
        </w:rPr>
        <w:t>本项目</w:t>
      </w:r>
      <w:r>
        <w:rPr>
          <w:rFonts w:hint="eastAsia" w:ascii="宋体" w:hAnsi="宋体" w:eastAsia="宋体" w:cs="宋体"/>
          <w:color w:val="auto"/>
          <w:sz w:val="24"/>
          <w:szCs w:val="24"/>
          <w:highlight w:val="none"/>
        </w:rPr>
        <w:t>现场履行</w:t>
      </w:r>
      <w:r>
        <w:rPr>
          <w:rFonts w:hint="eastAsia" w:ascii="宋体" w:hAnsi="宋体" w:eastAsia="宋体" w:cs="宋体"/>
          <w:color w:val="auto"/>
          <w:sz w:val="24"/>
          <w:szCs w:val="24"/>
          <w:highlight w:val="none"/>
          <w:lang w:val="en-US" w:eastAsia="zh-CN"/>
        </w:rPr>
        <w:t>安全</w:t>
      </w:r>
      <w:r>
        <w:rPr>
          <w:rFonts w:hint="eastAsia" w:ascii="宋体" w:hAnsi="宋体" w:eastAsia="宋体" w:cs="宋体"/>
          <w:color w:val="auto"/>
          <w:sz w:val="24"/>
          <w:szCs w:val="24"/>
          <w:highlight w:val="none"/>
        </w:rPr>
        <w:t>管理职责</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负责对安全生产进行现场监督检查。发现安全事故隐患，应当及时向项目负责人和安全生产管理机构报告；对违章指挥、违章操作的，应当立即制止。</w:t>
      </w:r>
    </w:p>
    <w:p w14:paraId="396933FA">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4、乙方在本项目施工作业期间，必须保证使用的设备设施（包括用电设施、设备安全防护措施、劳动保护用品等）符合国家和行业标准要求，并定期进行检查、维护、保养等，由此产生的相关费用由乙方承担。</w:t>
      </w:r>
    </w:p>
    <w:p w14:paraId="0F7123AB">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5、乙方保证特种作业人员必须按照国家有关规定经过专门的安全作业培训，并取得特种作业操作资格证书后，方可上岗作业，施工现场如出现特种作业无证操作现象时，乙方必须承担一切责任。</w:t>
      </w:r>
    </w:p>
    <w:p w14:paraId="4D8BDDE3">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6、乙方</w:t>
      </w:r>
      <w:r>
        <w:rPr>
          <w:rFonts w:hint="eastAsia" w:ascii="宋体" w:hAnsi="宋体" w:eastAsia="宋体" w:cs="宋体"/>
          <w:color w:val="auto"/>
          <w:sz w:val="24"/>
          <w:szCs w:val="24"/>
          <w:highlight w:val="none"/>
          <w:lang w:val="en-US" w:eastAsia="zh-CN"/>
        </w:rPr>
        <w:t>应对作业</w:t>
      </w:r>
      <w:r>
        <w:rPr>
          <w:rFonts w:hint="eastAsia" w:ascii="宋体" w:hAnsi="宋体" w:eastAsia="宋体" w:cs="宋体"/>
          <w:color w:val="auto"/>
          <w:sz w:val="24"/>
          <w:szCs w:val="24"/>
          <w:highlight w:val="none"/>
        </w:rPr>
        <w:t>人员进行登记造册</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进行进场上岗前（入场前）安全教育</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保证作业人员身体素质、安全素质符合规定要求，不得雇佣身体条件不合格、技术水平不达标、安全素质差的作业人员。乙方保证所有作业人员熟知和遵守与本项目有关的各项安全技术操作规程，定期进行安全技术考核，进行安全技术交底，合格者方准上岗操作。</w:t>
      </w:r>
    </w:p>
    <w:p w14:paraId="13BC315F">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7、乙方应经常性开展安全教育、安全检查和整改、安全学习活动。</w:t>
      </w:r>
    </w:p>
    <w:p w14:paraId="710AB86A">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8、乙方在作业过程中不得私自拆除、解除安全防护设备设施，不得违章指挥或强令工人冒险作业，不得强迫工人连续长时间作业。</w:t>
      </w:r>
    </w:p>
    <w:p w14:paraId="262D5279">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乙方在开展动火作业、</w:t>
      </w:r>
      <w:r>
        <w:rPr>
          <w:rFonts w:hint="eastAsia" w:ascii="宋体" w:hAnsi="宋体" w:eastAsia="宋体" w:cs="宋体"/>
          <w:color w:val="auto"/>
          <w:sz w:val="24"/>
          <w:szCs w:val="24"/>
          <w:highlight w:val="none"/>
          <w:lang w:val="en-US" w:eastAsia="zh-CN"/>
        </w:rPr>
        <w:t>有</w:t>
      </w:r>
      <w:r>
        <w:rPr>
          <w:rFonts w:hint="eastAsia" w:ascii="宋体" w:hAnsi="宋体" w:eastAsia="宋体" w:cs="宋体"/>
          <w:color w:val="auto"/>
          <w:sz w:val="24"/>
          <w:szCs w:val="24"/>
          <w:highlight w:val="none"/>
        </w:rPr>
        <w:t>限空间作业、高处作业、吊装作业、临时用电作业、动土作业以及应急管理部门和有关部门规定的其他危险性较大的作业时，需严格执行危险作业审批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安全技术</w:t>
      </w:r>
      <w:r>
        <w:rPr>
          <w:rFonts w:hint="eastAsia" w:ascii="宋体" w:hAnsi="宋体" w:eastAsia="宋体" w:cs="宋体"/>
          <w:color w:val="auto"/>
          <w:sz w:val="24"/>
          <w:szCs w:val="24"/>
          <w:highlight w:val="none"/>
        </w:rPr>
        <w:t>交底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开具作业票、风险辨识</w:t>
      </w:r>
      <w:r>
        <w:rPr>
          <w:rFonts w:hint="eastAsia" w:ascii="宋体" w:hAnsi="宋体" w:eastAsia="宋体" w:cs="宋体"/>
          <w:color w:val="auto"/>
          <w:sz w:val="24"/>
          <w:szCs w:val="24"/>
          <w:highlight w:val="none"/>
        </w:rPr>
        <w:t>等作业管理规定，并就上述作业另行制定现场管理及应急处置方案，安排专人进行现场安全生产管理，在具备安全条件，作业人员培训合格的前提下进行作业。同时应遵守相对应的执行危险作业有关的</w:t>
      </w:r>
      <w:r>
        <w:rPr>
          <w:rFonts w:hint="eastAsia" w:ascii="宋体" w:hAnsi="宋体" w:eastAsia="宋体" w:cs="宋体"/>
          <w:color w:val="auto"/>
          <w:sz w:val="24"/>
          <w:szCs w:val="24"/>
          <w:highlight w:val="none"/>
          <w:lang w:eastAsia="zh-CN"/>
        </w:rPr>
        <w:t>法律法规、</w:t>
      </w:r>
      <w:r>
        <w:rPr>
          <w:rFonts w:hint="eastAsia" w:ascii="宋体" w:hAnsi="宋体" w:eastAsia="宋体" w:cs="宋体"/>
          <w:color w:val="auto"/>
          <w:sz w:val="24"/>
          <w:szCs w:val="24"/>
          <w:highlight w:val="none"/>
        </w:rPr>
        <w:t>管理规定及甲乙双方的规章制度。</w:t>
      </w:r>
    </w:p>
    <w:p w14:paraId="231C08DE">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、乙方</w:t>
      </w:r>
      <w:r>
        <w:rPr>
          <w:rFonts w:hint="eastAsia" w:ascii="宋体" w:hAnsi="宋体" w:eastAsia="宋体" w:cs="宋体"/>
          <w:color w:val="auto"/>
          <w:sz w:val="24"/>
          <w:szCs w:val="24"/>
          <w:highlight w:val="none"/>
          <w:lang w:val="en-US" w:eastAsia="zh-CN"/>
        </w:rPr>
        <w:t>应对涉及有限空间的在建项目采取封闭式管理</w:t>
      </w:r>
      <w:r>
        <w:rPr>
          <w:rFonts w:hint="eastAsia" w:ascii="宋体" w:hAnsi="宋体" w:eastAsia="宋体" w:cs="宋体"/>
          <w:color w:val="auto"/>
          <w:sz w:val="24"/>
          <w:szCs w:val="24"/>
          <w:highlight w:val="none"/>
        </w:rPr>
        <w:t>，建立门禁</w:t>
      </w:r>
      <w:r>
        <w:rPr>
          <w:rFonts w:hint="eastAsia" w:ascii="宋体" w:hAnsi="宋体" w:eastAsia="宋体" w:cs="宋体"/>
          <w:color w:val="auto"/>
          <w:sz w:val="24"/>
          <w:szCs w:val="24"/>
          <w:highlight w:val="none"/>
          <w:lang w:val="en-US" w:eastAsia="zh-CN"/>
        </w:rPr>
        <w:t>管理</w:t>
      </w:r>
      <w:r>
        <w:rPr>
          <w:rFonts w:hint="eastAsia" w:ascii="宋体" w:hAnsi="宋体" w:eastAsia="宋体" w:cs="宋体"/>
          <w:color w:val="auto"/>
          <w:sz w:val="24"/>
          <w:szCs w:val="24"/>
          <w:highlight w:val="none"/>
        </w:rPr>
        <w:t>制度，</w:t>
      </w:r>
      <w:r>
        <w:rPr>
          <w:rFonts w:hint="eastAsia" w:ascii="宋体" w:hAnsi="宋体" w:eastAsia="宋体" w:cs="宋体"/>
          <w:color w:val="auto"/>
          <w:sz w:val="24"/>
          <w:szCs w:val="24"/>
          <w:highlight w:val="none"/>
          <w:lang w:val="en-US" w:eastAsia="zh-CN"/>
        </w:rPr>
        <w:t>指定管理人员负责有限空间的进出管理，在围挡悬挂有限空间安全警示牌，并通过安装远程视频监控对作业现场进行监管。对于不具备设置门禁条件的项目，由乙方方共同制定安全防范措施并严格执行，有效杜绝人员未经许可擅自进入的情况</w:t>
      </w:r>
      <w:r>
        <w:rPr>
          <w:rFonts w:hint="eastAsia" w:ascii="宋体" w:hAnsi="宋体" w:eastAsia="宋体" w:cs="宋体"/>
          <w:color w:val="auto"/>
          <w:sz w:val="24"/>
          <w:szCs w:val="24"/>
          <w:highlight w:val="none"/>
        </w:rPr>
        <w:t>。</w:t>
      </w:r>
    </w:p>
    <w:p w14:paraId="1A8C67A8">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11、乙方在涉及有限空间的作业过程中，</w:t>
      </w:r>
      <w:r>
        <w:rPr>
          <w:rFonts w:hint="eastAsia" w:ascii="宋体" w:hAnsi="宋体" w:eastAsia="宋体" w:cs="宋体"/>
          <w:color w:val="auto"/>
          <w:sz w:val="24"/>
          <w:szCs w:val="24"/>
          <w:highlight w:val="none"/>
        </w:rPr>
        <w:t>配备</w:t>
      </w:r>
      <w:r>
        <w:rPr>
          <w:rFonts w:hint="eastAsia" w:ascii="宋体" w:hAnsi="宋体" w:eastAsia="宋体" w:cs="宋体"/>
          <w:color w:val="auto"/>
          <w:sz w:val="24"/>
          <w:szCs w:val="24"/>
          <w:highlight w:val="none"/>
          <w:lang w:val="en-US" w:eastAsia="zh-CN"/>
        </w:rPr>
        <w:t>1至</w:t>
      </w:r>
      <w:r>
        <w:rPr>
          <w:rFonts w:hint="eastAsia" w:ascii="宋体" w:hAnsi="宋体" w:eastAsia="宋体" w:cs="宋体"/>
          <w:color w:val="auto"/>
          <w:sz w:val="24"/>
          <w:szCs w:val="24"/>
          <w:highlight w:val="none"/>
        </w:rPr>
        <w:t>2名安全监护人员，落实作业过程旁站监督</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现场管理人员、安全监护人员</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作业人员必须是经培训合格的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并</w:t>
      </w:r>
      <w:r>
        <w:rPr>
          <w:rFonts w:hint="eastAsia" w:ascii="宋体" w:hAnsi="宋体" w:eastAsia="宋体" w:cs="宋体"/>
          <w:color w:val="auto"/>
          <w:sz w:val="24"/>
          <w:szCs w:val="24"/>
          <w:highlight w:val="none"/>
        </w:rPr>
        <w:t>对作业人员进行安全交底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经</w:t>
      </w:r>
      <w:r>
        <w:rPr>
          <w:rFonts w:hint="eastAsia" w:ascii="宋体" w:hAnsi="宋体" w:eastAsia="宋体" w:cs="宋体"/>
          <w:color w:val="auto"/>
          <w:sz w:val="24"/>
          <w:szCs w:val="24"/>
          <w:highlight w:val="none"/>
          <w:lang w:val="en-US" w:eastAsia="zh-CN"/>
        </w:rPr>
        <w:t>交底人和作业人员</w:t>
      </w:r>
      <w:r>
        <w:rPr>
          <w:rFonts w:hint="eastAsia" w:ascii="宋体" w:hAnsi="宋体" w:eastAsia="宋体" w:cs="宋体"/>
          <w:color w:val="auto"/>
          <w:sz w:val="24"/>
          <w:szCs w:val="24"/>
          <w:highlight w:val="none"/>
        </w:rPr>
        <w:t>签字确认</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现场必须落实相应的管控措施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包括但不限于</w:t>
      </w:r>
      <w:r>
        <w:rPr>
          <w:rFonts w:hint="eastAsia" w:ascii="宋体" w:hAnsi="宋体" w:eastAsia="宋体" w:cs="宋体"/>
          <w:color w:val="auto"/>
          <w:sz w:val="24"/>
          <w:szCs w:val="24"/>
          <w:highlight w:val="none"/>
        </w:rPr>
        <w:t>：配备通风设备、气体检测设备、防护设施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采取</w:t>
      </w:r>
      <w:r>
        <w:rPr>
          <w:rFonts w:hint="eastAsia" w:ascii="宋体" w:hAnsi="宋体" w:eastAsia="宋体" w:cs="宋体"/>
          <w:color w:val="auto"/>
          <w:sz w:val="24"/>
          <w:szCs w:val="24"/>
          <w:highlight w:val="none"/>
        </w:rPr>
        <w:t>生物</w:t>
      </w:r>
      <w:r>
        <w:rPr>
          <w:rFonts w:hint="eastAsia" w:ascii="宋体" w:hAnsi="宋体" w:eastAsia="宋体" w:cs="宋体"/>
          <w:color w:val="auto"/>
          <w:sz w:val="24"/>
          <w:szCs w:val="24"/>
          <w:highlight w:val="none"/>
          <w:lang w:val="en-US" w:eastAsia="zh-CN"/>
        </w:rPr>
        <w:t>预警</w:t>
      </w:r>
      <w:r>
        <w:rPr>
          <w:rFonts w:hint="eastAsia" w:ascii="宋体" w:hAnsi="宋体" w:eastAsia="宋体" w:cs="宋体"/>
          <w:color w:val="auto"/>
          <w:sz w:val="24"/>
          <w:szCs w:val="24"/>
          <w:highlight w:val="none"/>
        </w:rPr>
        <w:t>措施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应</w:t>
      </w:r>
      <w:r>
        <w:rPr>
          <w:rFonts w:hint="eastAsia" w:ascii="宋体" w:hAnsi="宋体" w:eastAsia="宋体" w:cs="宋体"/>
          <w:color w:val="auto"/>
          <w:sz w:val="24"/>
          <w:szCs w:val="24"/>
          <w:highlight w:val="none"/>
        </w:rPr>
        <w:t>制定现场安全应急预案，明确</w:t>
      </w:r>
      <w:r>
        <w:rPr>
          <w:rFonts w:hint="eastAsia" w:ascii="宋体" w:hAnsi="宋体" w:eastAsia="宋体" w:cs="宋体"/>
          <w:color w:val="auto"/>
          <w:sz w:val="24"/>
          <w:szCs w:val="24"/>
          <w:highlight w:val="none"/>
          <w:lang w:val="en-US" w:eastAsia="zh-CN"/>
        </w:rPr>
        <w:t>紧急情况下信息速报、施救程序等</w:t>
      </w:r>
      <w:r>
        <w:rPr>
          <w:rFonts w:hint="eastAsia" w:ascii="宋体" w:hAnsi="宋体" w:eastAsia="宋体" w:cs="宋体"/>
          <w:color w:val="auto"/>
          <w:sz w:val="24"/>
          <w:szCs w:val="24"/>
          <w:highlight w:val="none"/>
        </w:rPr>
        <w:t>现场应急处置要求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杜绝盲目施救。</w:t>
      </w:r>
    </w:p>
    <w:p w14:paraId="23883289">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乙方在作业过程中，对燃气、电力、军用光缆、航油管线、通讯、给排水等第三方管线，必须按照行业主管部门要求落实保护措施，与第三方管线单位建立联动机制，并严格按照联动机制开展作业。作业期间如遇情况不明或突发情况时应立即停止施工，采取保护措施，并上报管线单位、甲方等。如因乙方原因造成的上述管线发生事故等的一切责任由乙方承担。</w:t>
      </w:r>
    </w:p>
    <w:p w14:paraId="54C0844B">
      <w:pPr>
        <w:keepNext w:val="0"/>
        <w:pageBreakBefore w:val="0"/>
        <w:overflowPunct/>
        <w:topLinePunct w:val="0"/>
        <w:autoSpaceDE/>
        <w:autoSpaceDN/>
        <w:bidi w:val="0"/>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、施工现场的消防安全管理应由乙方负责，乙方应参照《建设工程施工现场消防安全技术规范》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GB</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50720</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的要求，在施工现场建立消防安全责任制度，确定消防安全责任人和消防安全管理人员，同时应落实相关人员的消防安全管理责任。制定用火、用电、使用易燃易爆材料等各项消防安全生产管理制度和操作规程，设置消防疏散通道、消防救援场地，配备</w:t>
      </w:r>
      <w:r>
        <w:rPr>
          <w:rFonts w:hint="eastAsia" w:ascii="宋体" w:hAnsi="宋体" w:eastAsia="宋体" w:cs="宋体"/>
          <w:color w:val="auto"/>
          <w:sz w:val="24"/>
          <w:szCs w:val="24"/>
          <w:highlight w:val="none"/>
          <w:lang w:val="en-US" w:eastAsia="zh-CN"/>
        </w:rPr>
        <w:t>满足项目需要的</w:t>
      </w:r>
      <w:r>
        <w:rPr>
          <w:rFonts w:hint="eastAsia" w:ascii="宋体" w:hAnsi="宋体" w:eastAsia="宋体" w:cs="宋体"/>
          <w:color w:val="auto"/>
          <w:sz w:val="24"/>
          <w:szCs w:val="24"/>
          <w:highlight w:val="none"/>
        </w:rPr>
        <w:t>消防设施。</w:t>
      </w:r>
    </w:p>
    <w:p w14:paraId="5E839B05">
      <w:pPr>
        <w:keepNext w:val="0"/>
        <w:pageBreakBefore w:val="0"/>
        <w:numPr>
          <w:ilvl w:val="0"/>
          <w:numId w:val="0"/>
        </w:numPr>
        <w:overflowPunct/>
        <w:topLinePunct w:val="0"/>
        <w:autoSpaceDE/>
        <w:autoSpaceDN/>
        <w:bidi w:val="0"/>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施工结束后，乙方应对施工临时措施、构筑物等进行安全拆除。拆除作业前，乙方应编制拆除施工方案、安全操作规程及采取相关的防尘降噪、堆放、清除废弃物等措施，并应按规定程序进行审批，对作业人员进行技术交底。</w:t>
      </w:r>
    </w:p>
    <w:p w14:paraId="34FF54F0">
      <w:pPr>
        <w:keepNext w:val="0"/>
        <w:pageBreakBefore w:val="0"/>
        <w:numPr>
          <w:ilvl w:val="0"/>
          <w:numId w:val="0"/>
        </w:numPr>
        <w:overflowPunct/>
        <w:topLinePunct w:val="0"/>
        <w:autoSpaceDE/>
        <w:autoSpaceDN/>
        <w:bidi w:val="0"/>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、乙方在任何时候都应采取各种合理的预防措施，防止发生任何违法、违禁、暴力或妨碍治安的行为。</w:t>
      </w:r>
    </w:p>
    <w:p w14:paraId="06D3B970">
      <w:pPr>
        <w:keepNext w:val="0"/>
        <w:pageBreakBefore w:val="0"/>
        <w:overflowPunct/>
        <w:topLinePunct w:val="0"/>
        <w:autoSpaceDE/>
        <w:autoSpaceDN/>
        <w:bidi w:val="0"/>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 xml:space="preserve">、乙方必须按规定提取和使用安全技术措施经费，为作业人员提供符合国家标准或行业标准的劳动防护用品，并督促、教育作业人员按照使用规则佩戴、使用。 </w:t>
      </w:r>
    </w:p>
    <w:p w14:paraId="2218545B">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其他约定：</w:t>
      </w:r>
      <w:r>
        <w:rPr>
          <w:rFonts w:hint="eastAsia" w:ascii="宋体" w:hAnsi="宋体" w:eastAsia="宋体" w:cs="宋体"/>
          <w:b w:val="0"/>
          <w:bCs w:val="0"/>
          <w:color w:val="auto"/>
          <w:sz w:val="24"/>
          <w:szCs w:val="24"/>
          <w:highlight w:val="none"/>
          <w:u w:val="none"/>
        </w:rPr>
        <w:t xml:space="preserve">（备注：可根据项目实际情况，自行添加相关条款）   </w:t>
      </w:r>
    </w:p>
    <w:p w14:paraId="2776BBCB">
      <w:pPr>
        <w:keepNext w:val="0"/>
        <w:pageBreakBefore w:val="0"/>
        <w:overflowPunct/>
        <w:topLinePunct w:val="0"/>
        <w:autoSpaceDE/>
        <w:autoSpaceDN/>
        <w:bidi w:val="0"/>
        <w:snapToGrid/>
        <w:spacing w:line="480" w:lineRule="exact"/>
        <w:ind w:left="0" w:right="0" w:firstLine="480" w:firstLineChars="200"/>
        <w:outlineLvl w:val="9"/>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lang w:val="en-US" w:eastAsia="zh-CN"/>
        </w:rPr>
        <w:t>四</w:t>
      </w:r>
      <w:r>
        <w:rPr>
          <w:rFonts w:hint="eastAsia" w:ascii="宋体" w:hAnsi="宋体" w:eastAsia="宋体" w:cs="宋体"/>
          <w:b w:val="0"/>
          <w:color w:val="auto"/>
          <w:sz w:val="24"/>
          <w:szCs w:val="24"/>
          <w:highlight w:val="none"/>
        </w:rPr>
        <w:t>、违约和赔偿责任</w:t>
      </w:r>
    </w:p>
    <w:p w14:paraId="07E3931A">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1、乙方违反安全生产管理规定违章作业</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每发生一次，甲方有权要求乙方支付违约金</w:t>
      </w:r>
      <w:r>
        <w:rPr>
          <w:rFonts w:hint="eastAsia" w:ascii="宋体" w:hAnsi="宋体" w:eastAsia="宋体" w:cs="宋体"/>
          <w:color w:val="auto"/>
          <w:sz w:val="24"/>
          <w:szCs w:val="24"/>
          <w:highlight w:val="none"/>
          <w:u w:val="none"/>
          <w:lang w:val="en-US" w:eastAsia="zh-CN"/>
        </w:rPr>
        <w:t>5百元</w:t>
      </w:r>
      <w:r>
        <w:rPr>
          <w:rFonts w:hint="eastAsia" w:ascii="宋体" w:hAnsi="宋体" w:eastAsia="宋体" w:cs="宋体"/>
          <w:color w:val="auto"/>
          <w:sz w:val="24"/>
          <w:szCs w:val="24"/>
          <w:highlight w:val="none"/>
          <w:u w:val="none"/>
          <w:lang w:val="en-US"/>
        </w:rPr>
        <w:t>-</w:t>
      </w:r>
      <w:r>
        <w:rPr>
          <w:rFonts w:hint="eastAsia" w:ascii="宋体" w:hAnsi="宋体" w:eastAsia="宋体" w:cs="宋体"/>
          <w:color w:val="auto"/>
          <w:sz w:val="24"/>
          <w:szCs w:val="24"/>
          <w:highlight w:val="none"/>
          <w:u w:val="none"/>
          <w:lang w:val="en-US" w:eastAsia="zh-CN"/>
        </w:rPr>
        <w:t>2千</w:t>
      </w:r>
      <w:r>
        <w:rPr>
          <w:rFonts w:hint="eastAsia" w:ascii="宋体" w:hAnsi="宋体" w:eastAsia="宋体" w:cs="宋体"/>
          <w:color w:val="auto"/>
          <w:sz w:val="24"/>
          <w:szCs w:val="24"/>
          <w:highlight w:val="none"/>
          <w:u w:val="none"/>
          <w:lang w:val="en-US"/>
        </w:rPr>
        <w:t>元</w:t>
      </w:r>
      <w:r>
        <w:rPr>
          <w:rFonts w:hint="eastAsia" w:ascii="宋体" w:hAnsi="宋体" w:eastAsia="宋体" w:cs="宋体"/>
          <w:color w:val="auto"/>
          <w:sz w:val="24"/>
          <w:szCs w:val="24"/>
          <w:highlight w:val="none"/>
          <w:lang w:eastAsia="zh-CN"/>
        </w:rPr>
        <w:t>（违约</w:t>
      </w:r>
      <w:r>
        <w:rPr>
          <w:rFonts w:hint="eastAsia" w:ascii="宋体" w:hAnsi="宋体" w:eastAsia="宋体" w:cs="宋体"/>
          <w:color w:val="auto"/>
          <w:sz w:val="24"/>
          <w:szCs w:val="24"/>
          <w:highlight w:val="none"/>
          <w:lang w:val="en-US" w:eastAsia="zh-CN"/>
        </w:rPr>
        <w:t>条款及</w:t>
      </w:r>
      <w:r>
        <w:rPr>
          <w:rFonts w:hint="eastAsia" w:ascii="宋体" w:hAnsi="宋体" w:eastAsia="宋体" w:cs="宋体"/>
          <w:color w:val="auto"/>
          <w:sz w:val="24"/>
          <w:szCs w:val="24"/>
          <w:highlight w:val="none"/>
          <w:lang w:eastAsia="zh-CN"/>
        </w:rPr>
        <w:t>金额应根据项目实际情况进行</w:t>
      </w:r>
      <w:r>
        <w:rPr>
          <w:rFonts w:hint="eastAsia" w:ascii="宋体" w:hAnsi="宋体" w:eastAsia="宋体" w:cs="宋体"/>
          <w:color w:val="auto"/>
          <w:sz w:val="24"/>
          <w:szCs w:val="24"/>
          <w:highlight w:val="none"/>
          <w:lang w:val="en-US" w:eastAsia="zh-CN"/>
        </w:rPr>
        <w:t>补充和调整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none"/>
          <w:lang w:val="en-US" w:eastAsia="zh-CN"/>
        </w:rPr>
        <w:t>，</w:t>
      </w:r>
      <w:r>
        <w:rPr>
          <w:rFonts w:hint="eastAsia" w:ascii="宋体" w:hAnsi="宋体" w:eastAsia="宋体" w:cs="宋体"/>
          <w:color w:val="auto"/>
          <w:sz w:val="24"/>
          <w:szCs w:val="24"/>
          <w:highlight w:val="none"/>
        </w:rPr>
        <w:t>同时按相关合同及安全生产管理规定要求乙方承担相应责任，且乙方应按要求整改到位</w:t>
      </w:r>
      <w:r>
        <w:rPr>
          <w:rFonts w:hint="eastAsia" w:ascii="宋体" w:hAnsi="宋体" w:eastAsia="宋体" w:cs="宋体"/>
          <w:color w:val="auto"/>
          <w:sz w:val="24"/>
          <w:szCs w:val="24"/>
          <w:highlight w:val="none"/>
          <w:lang w:eastAsia="zh-CN"/>
        </w:rPr>
        <w:t>。</w:t>
      </w:r>
    </w:p>
    <w:p w14:paraId="43BD8E60">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乙方违反本合同约定</w:t>
      </w:r>
      <w:r>
        <w:rPr>
          <w:rFonts w:hint="eastAsia" w:ascii="宋体" w:hAnsi="宋体" w:eastAsia="宋体" w:cs="宋体"/>
          <w:color w:val="auto"/>
          <w:sz w:val="24"/>
          <w:szCs w:val="24"/>
          <w:highlight w:val="none"/>
          <w:lang w:val="en-US" w:eastAsia="zh-CN"/>
        </w:rPr>
        <w:t>条款</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val="en-US" w:eastAsia="zh-CN"/>
        </w:rPr>
        <w:t>危险作业安全措施落实不到位，</w:t>
      </w:r>
      <w:r>
        <w:rPr>
          <w:rFonts w:hint="eastAsia" w:ascii="宋体" w:hAnsi="宋体" w:eastAsia="宋体" w:cs="宋体"/>
          <w:color w:val="auto"/>
          <w:sz w:val="24"/>
          <w:szCs w:val="24"/>
          <w:highlight w:val="none"/>
        </w:rPr>
        <w:t>每发生一次，甲方有权要求乙方支付违约金</w:t>
      </w:r>
      <w:r>
        <w:rPr>
          <w:rFonts w:hint="eastAsia" w:ascii="宋体" w:hAnsi="宋体" w:eastAsia="宋体" w:cs="宋体"/>
          <w:color w:val="auto"/>
          <w:sz w:val="24"/>
          <w:szCs w:val="24"/>
          <w:highlight w:val="none"/>
          <w:u w:val="none"/>
          <w:lang w:val="en-US" w:eastAsia="zh-CN"/>
        </w:rPr>
        <w:t>3千</w:t>
      </w:r>
      <w:r>
        <w:rPr>
          <w:rFonts w:hint="eastAsia" w:ascii="宋体" w:hAnsi="宋体" w:eastAsia="宋体" w:cs="宋体"/>
          <w:color w:val="auto"/>
          <w:sz w:val="24"/>
          <w:szCs w:val="24"/>
          <w:highlight w:val="none"/>
          <w:u w:val="none"/>
          <w:lang w:val="en-US"/>
        </w:rPr>
        <w:t>元-</w:t>
      </w:r>
      <w:r>
        <w:rPr>
          <w:rFonts w:hint="eastAsia" w:ascii="宋体" w:hAnsi="宋体" w:eastAsia="宋体" w:cs="宋体"/>
          <w:color w:val="auto"/>
          <w:sz w:val="24"/>
          <w:szCs w:val="24"/>
          <w:highlight w:val="none"/>
          <w:u w:val="none"/>
          <w:lang w:val="en-US" w:eastAsia="zh-CN"/>
        </w:rPr>
        <w:t>3</w:t>
      </w:r>
      <w:r>
        <w:rPr>
          <w:rFonts w:hint="eastAsia" w:ascii="宋体" w:hAnsi="宋体" w:eastAsia="宋体" w:cs="宋体"/>
          <w:color w:val="auto"/>
          <w:sz w:val="24"/>
          <w:szCs w:val="24"/>
          <w:highlight w:val="none"/>
          <w:u w:val="none"/>
          <w:lang w:val="en-US"/>
        </w:rPr>
        <w:t>万元</w:t>
      </w:r>
      <w:r>
        <w:rPr>
          <w:rFonts w:hint="eastAsia" w:ascii="宋体" w:hAnsi="宋体" w:eastAsia="宋体" w:cs="宋体"/>
          <w:color w:val="auto"/>
          <w:sz w:val="24"/>
          <w:szCs w:val="24"/>
          <w:highlight w:val="none"/>
          <w:lang w:eastAsia="zh-CN"/>
        </w:rPr>
        <w:t>（违约</w:t>
      </w:r>
      <w:r>
        <w:rPr>
          <w:rFonts w:hint="eastAsia" w:ascii="宋体" w:hAnsi="宋体" w:eastAsia="宋体" w:cs="宋体"/>
          <w:color w:val="auto"/>
          <w:sz w:val="24"/>
          <w:szCs w:val="24"/>
          <w:highlight w:val="none"/>
          <w:lang w:val="en-US" w:eastAsia="zh-CN"/>
        </w:rPr>
        <w:t>条款及</w:t>
      </w:r>
      <w:r>
        <w:rPr>
          <w:rFonts w:hint="eastAsia" w:ascii="宋体" w:hAnsi="宋体" w:eastAsia="宋体" w:cs="宋体"/>
          <w:color w:val="auto"/>
          <w:sz w:val="24"/>
          <w:szCs w:val="24"/>
          <w:highlight w:val="none"/>
          <w:lang w:eastAsia="zh-CN"/>
        </w:rPr>
        <w:t>金额应根据项目实际情况进行</w:t>
      </w:r>
      <w:r>
        <w:rPr>
          <w:rFonts w:hint="eastAsia" w:ascii="宋体" w:hAnsi="宋体" w:eastAsia="宋体" w:cs="宋体"/>
          <w:color w:val="auto"/>
          <w:sz w:val="24"/>
          <w:szCs w:val="24"/>
          <w:highlight w:val="none"/>
          <w:lang w:val="en-US" w:eastAsia="zh-CN"/>
        </w:rPr>
        <w:t>补充和调整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none"/>
          <w:lang w:val="en-US" w:eastAsia="zh-CN"/>
        </w:rPr>
        <w:t>，</w:t>
      </w:r>
      <w:r>
        <w:rPr>
          <w:rFonts w:hint="eastAsia" w:ascii="宋体" w:hAnsi="宋体" w:eastAsia="宋体" w:cs="宋体"/>
          <w:color w:val="auto"/>
          <w:sz w:val="24"/>
          <w:szCs w:val="24"/>
          <w:highlight w:val="none"/>
        </w:rPr>
        <w:t>同时按相关合同及安全生产管理规定要求乙方承担相应责任，且乙方应按要求整改到位，否则甲方有权解除合同。因上述原因所造成的经济损失和一切后果由乙方承担。</w:t>
      </w:r>
    </w:p>
    <w:p w14:paraId="20BD0905">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本项目作业场所因安全文明施工问题被被居民投诉经核实情况属实的，乙方应向甲方支付违约金每次</w:t>
      </w:r>
      <w:r>
        <w:rPr>
          <w:rFonts w:hint="eastAsia" w:ascii="宋体" w:hAnsi="宋体" w:eastAsia="宋体" w:cs="宋体"/>
          <w:color w:val="auto"/>
          <w:kern w:val="0"/>
          <w:sz w:val="24"/>
          <w:szCs w:val="24"/>
          <w:highlight w:val="none"/>
          <w:u w:val="none"/>
          <w:lang w:val="en-US" w:eastAsia="zh-CN"/>
        </w:rPr>
        <w:t>5百元</w:t>
      </w:r>
      <w:r>
        <w:rPr>
          <w:rFonts w:hint="eastAsia" w:ascii="宋体" w:hAnsi="宋体" w:eastAsia="宋体" w:cs="宋体"/>
          <w:color w:val="auto"/>
          <w:kern w:val="0"/>
          <w:sz w:val="24"/>
          <w:szCs w:val="24"/>
          <w:highlight w:val="none"/>
          <w:u w:val="none"/>
        </w:rPr>
        <w:t>-</w:t>
      </w:r>
      <w:r>
        <w:rPr>
          <w:rFonts w:hint="eastAsia" w:ascii="宋体" w:hAnsi="宋体" w:eastAsia="宋体" w:cs="宋体"/>
          <w:color w:val="auto"/>
          <w:kern w:val="0"/>
          <w:sz w:val="24"/>
          <w:szCs w:val="24"/>
          <w:highlight w:val="none"/>
          <w:u w:val="none"/>
          <w:lang w:val="en-US" w:eastAsia="zh-CN"/>
        </w:rPr>
        <w:t>1千</w:t>
      </w:r>
      <w:r>
        <w:rPr>
          <w:rFonts w:hint="eastAsia" w:ascii="宋体" w:hAnsi="宋体" w:eastAsia="宋体" w:cs="宋体"/>
          <w:color w:val="auto"/>
          <w:kern w:val="0"/>
          <w:sz w:val="24"/>
          <w:szCs w:val="24"/>
          <w:highlight w:val="none"/>
          <w:u w:val="none"/>
        </w:rPr>
        <w:t>元</w:t>
      </w:r>
      <w:r>
        <w:rPr>
          <w:rFonts w:hint="eastAsia" w:ascii="宋体" w:hAnsi="宋体" w:eastAsia="宋体" w:cs="宋体"/>
          <w:color w:val="auto"/>
          <w:sz w:val="24"/>
          <w:szCs w:val="24"/>
          <w:highlight w:val="none"/>
          <w:lang w:eastAsia="zh-CN"/>
        </w:rPr>
        <w:t>（（违约金金额大小应根据项目实际情况进行调整）</w:t>
      </w:r>
      <w:r>
        <w:rPr>
          <w:rFonts w:hint="eastAsia" w:ascii="宋体" w:hAnsi="宋体" w:eastAsia="宋体" w:cs="宋体"/>
          <w:color w:val="auto"/>
          <w:kern w:val="0"/>
          <w:sz w:val="24"/>
          <w:szCs w:val="24"/>
          <w:highlight w:val="none"/>
        </w:rPr>
        <w:t>，同时应按甲方或相关单位要求整改到位</w:t>
      </w:r>
      <w:r>
        <w:rPr>
          <w:rFonts w:hint="eastAsia" w:ascii="宋体" w:hAnsi="宋体" w:eastAsia="宋体" w:cs="宋体"/>
          <w:color w:val="auto"/>
          <w:sz w:val="24"/>
          <w:szCs w:val="24"/>
          <w:highlight w:val="none"/>
          <w:lang w:eastAsia="zh-CN"/>
        </w:rPr>
        <w:t>。</w:t>
      </w:r>
    </w:p>
    <w:p w14:paraId="655CEB10">
      <w:pPr>
        <w:keepNext w:val="0"/>
        <w:pageBreakBefore w:val="0"/>
        <w:overflowPunct/>
        <w:topLinePunct w:val="0"/>
        <w:autoSpaceDE/>
        <w:autoSpaceDN/>
        <w:bidi w:val="0"/>
        <w:adjustRightInd/>
        <w:snapToGrid/>
        <w:spacing w:line="480" w:lineRule="exact"/>
        <w:ind w:left="0" w:right="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、本项目作业场所因安全文明施工问题被媒体曝光的，乙方应向甲方支付违约金每次</w:t>
      </w:r>
      <w:r>
        <w:rPr>
          <w:rFonts w:hint="eastAsia" w:ascii="宋体" w:hAnsi="宋体" w:eastAsia="宋体" w:cs="宋体"/>
          <w:color w:val="auto"/>
          <w:kern w:val="0"/>
          <w:sz w:val="24"/>
          <w:szCs w:val="24"/>
          <w:highlight w:val="none"/>
          <w:u w:val="none"/>
          <w:lang w:val="en-US" w:eastAsia="zh-CN"/>
        </w:rPr>
        <w:t>1千元</w:t>
      </w:r>
      <w:r>
        <w:rPr>
          <w:rFonts w:hint="eastAsia" w:ascii="宋体" w:hAnsi="宋体" w:eastAsia="宋体" w:cs="宋体"/>
          <w:color w:val="auto"/>
          <w:kern w:val="0"/>
          <w:sz w:val="24"/>
          <w:szCs w:val="24"/>
          <w:highlight w:val="none"/>
          <w:u w:val="none"/>
        </w:rPr>
        <w:t>-</w:t>
      </w:r>
      <w:r>
        <w:rPr>
          <w:rFonts w:hint="eastAsia" w:ascii="宋体" w:hAnsi="宋体" w:eastAsia="宋体" w:cs="宋体"/>
          <w:color w:val="auto"/>
          <w:kern w:val="0"/>
          <w:sz w:val="24"/>
          <w:szCs w:val="24"/>
          <w:highlight w:val="none"/>
          <w:u w:val="none"/>
          <w:lang w:val="en-US" w:eastAsia="zh-CN"/>
        </w:rPr>
        <w:t>1万</w:t>
      </w:r>
      <w:r>
        <w:rPr>
          <w:rFonts w:hint="eastAsia" w:ascii="宋体" w:hAnsi="宋体" w:eastAsia="宋体" w:cs="宋体"/>
          <w:color w:val="auto"/>
          <w:kern w:val="0"/>
          <w:sz w:val="24"/>
          <w:szCs w:val="24"/>
          <w:highlight w:val="none"/>
          <w:u w:val="none"/>
        </w:rPr>
        <w:t>元</w:t>
      </w:r>
      <w:r>
        <w:rPr>
          <w:rFonts w:hint="eastAsia" w:ascii="宋体" w:hAnsi="宋体" w:eastAsia="宋体" w:cs="宋体"/>
          <w:color w:val="auto"/>
          <w:sz w:val="24"/>
          <w:szCs w:val="24"/>
          <w:highlight w:val="none"/>
          <w:lang w:eastAsia="zh-CN"/>
        </w:rPr>
        <w:t>（违约金金额大小应根据项目实际情况进行调整）</w:t>
      </w:r>
      <w:r>
        <w:rPr>
          <w:rFonts w:hint="eastAsia" w:ascii="宋体" w:hAnsi="宋体" w:eastAsia="宋体" w:cs="宋体"/>
          <w:color w:val="auto"/>
          <w:kern w:val="0"/>
          <w:sz w:val="24"/>
          <w:szCs w:val="24"/>
          <w:highlight w:val="none"/>
        </w:rPr>
        <w:t>，同时应按甲方或相关单位要求整改到位</w:t>
      </w:r>
      <w:r>
        <w:rPr>
          <w:rFonts w:hint="eastAsia" w:ascii="宋体" w:hAnsi="宋体" w:eastAsia="宋体" w:cs="宋体"/>
          <w:color w:val="auto"/>
          <w:sz w:val="24"/>
          <w:szCs w:val="24"/>
          <w:highlight w:val="none"/>
          <w:lang w:eastAsia="zh-CN"/>
        </w:rPr>
        <w:t>。</w:t>
      </w:r>
    </w:p>
    <w:p w14:paraId="1322F95D">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、本项目作业场所因安全文明施工问题被相关主管部门检查发现存在问题或挂牌通报的，乙方应向甲方支付违约金每次</w:t>
      </w:r>
      <w:r>
        <w:rPr>
          <w:rFonts w:hint="eastAsia" w:ascii="宋体" w:hAnsi="宋体" w:eastAsia="宋体" w:cs="宋体"/>
          <w:color w:val="auto"/>
          <w:kern w:val="0"/>
          <w:sz w:val="24"/>
          <w:szCs w:val="24"/>
          <w:highlight w:val="none"/>
          <w:u w:val="none"/>
          <w:lang w:val="en-US" w:eastAsia="zh-CN"/>
        </w:rPr>
        <w:t>1千元</w:t>
      </w:r>
      <w:r>
        <w:rPr>
          <w:rFonts w:hint="eastAsia" w:ascii="宋体" w:hAnsi="宋体" w:eastAsia="宋体" w:cs="宋体"/>
          <w:color w:val="auto"/>
          <w:sz w:val="24"/>
          <w:szCs w:val="24"/>
          <w:highlight w:val="none"/>
          <w:u w:val="none"/>
        </w:rPr>
        <w:t>-</w:t>
      </w:r>
      <w:r>
        <w:rPr>
          <w:rFonts w:hint="eastAsia" w:ascii="宋体" w:hAnsi="宋体" w:eastAsia="宋体" w:cs="宋体"/>
          <w:color w:val="auto"/>
          <w:kern w:val="0"/>
          <w:sz w:val="24"/>
          <w:szCs w:val="24"/>
          <w:highlight w:val="none"/>
          <w:u w:val="none"/>
          <w:lang w:val="en-US" w:eastAsia="zh-CN"/>
        </w:rPr>
        <w:t>1万</w:t>
      </w:r>
      <w:r>
        <w:rPr>
          <w:rFonts w:hint="eastAsia" w:ascii="宋体" w:hAnsi="宋体" w:eastAsia="宋体" w:cs="宋体"/>
          <w:color w:val="auto"/>
          <w:sz w:val="24"/>
          <w:szCs w:val="24"/>
          <w:highlight w:val="none"/>
          <w:u w:val="none"/>
          <w:lang w:val="en-US" w:eastAsia="zh-CN"/>
        </w:rPr>
        <w:t>元</w:t>
      </w:r>
      <w:r>
        <w:rPr>
          <w:rFonts w:hint="eastAsia" w:ascii="宋体" w:hAnsi="宋体" w:eastAsia="宋体" w:cs="宋体"/>
          <w:color w:val="auto"/>
          <w:sz w:val="24"/>
          <w:szCs w:val="24"/>
          <w:highlight w:val="none"/>
          <w:lang w:eastAsia="zh-CN"/>
        </w:rPr>
        <w:t>（违约金金额大小应根据项目实际情况进行调整）</w:t>
      </w:r>
      <w:r>
        <w:rPr>
          <w:rFonts w:hint="eastAsia" w:ascii="宋体" w:hAnsi="宋体" w:eastAsia="宋体" w:cs="宋体"/>
          <w:color w:val="auto"/>
          <w:sz w:val="24"/>
          <w:szCs w:val="24"/>
          <w:highlight w:val="none"/>
        </w:rPr>
        <w:t>，同时按要求整改到位。如因此被行政处罚的，罚金由乙方支付，同时乙方应赔偿甲方因此造成的全部损失</w:t>
      </w:r>
      <w:r>
        <w:rPr>
          <w:rFonts w:hint="eastAsia" w:ascii="宋体" w:hAnsi="宋体" w:eastAsia="宋体" w:cs="宋体"/>
          <w:color w:val="auto"/>
          <w:sz w:val="24"/>
          <w:szCs w:val="24"/>
          <w:highlight w:val="none"/>
          <w:lang w:eastAsia="zh-CN"/>
        </w:rPr>
        <w:t>。</w:t>
      </w:r>
    </w:p>
    <w:p w14:paraId="3735D5F6">
      <w:pPr>
        <w:keepNext w:val="0"/>
        <w:pageBreakBefore w:val="0"/>
        <w:overflowPunct/>
        <w:topLinePunct w:val="0"/>
        <w:autoSpaceDE/>
        <w:autoSpaceDN/>
        <w:bidi w:val="0"/>
        <w:adjustRightInd/>
        <w:snapToGrid/>
        <w:spacing w:line="480" w:lineRule="exact"/>
        <w:ind w:left="0" w:right="0"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乙方自行负责本项目范围内的工程建设、消防、安全生产、经营、环保、卫生及相关人员的劳动、人身安全等，知悉安全法律法规的规定；本项目作业场所发生安全责任事故（事件）的，由乙方承担全部赔偿责任和法律责任（包括但不限于因此导致的甲方人员、乙方人员或第三方人员伤亡、造成甲方或第三方企业财产损失、经济损失的赔偿责任），乙方法定代表人、实际控制人、实际负责人为第一责任人，承担相对应的法律责任。同时，甲方有权要求乙方支付本项目合同</w:t>
      </w:r>
      <w:r>
        <w:rPr>
          <w:rFonts w:hint="eastAsia" w:ascii="宋体" w:hAnsi="宋体" w:eastAsia="宋体" w:cs="宋体"/>
          <w:color w:val="auto"/>
          <w:kern w:val="0"/>
          <w:sz w:val="24"/>
          <w:szCs w:val="24"/>
          <w:highlight w:val="none"/>
          <w:lang w:eastAsia="zh-CN"/>
        </w:rPr>
        <w:t>（暂定）</w:t>
      </w:r>
      <w:r>
        <w:rPr>
          <w:rFonts w:hint="eastAsia" w:ascii="宋体" w:hAnsi="宋体" w:eastAsia="宋体" w:cs="宋体"/>
          <w:color w:val="auto"/>
          <w:kern w:val="0"/>
          <w:sz w:val="24"/>
          <w:szCs w:val="24"/>
          <w:highlight w:val="none"/>
        </w:rPr>
        <w:t>总价</w:t>
      </w:r>
      <w:r>
        <w:rPr>
          <w:rFonts w:hint="eastAsia" w:ascii="宋体" w:hAnsi="宋体" w:eastAsia="宋体" w:cs="宋体"/>
          <w:color w:val="auto"/>
          <w:kern w:val="0"/>
          <w:sz w:val="24"/>
          <w:szCs w:val="24"/>
          <w:highlight w:val="none"/>
          <w:u w:val="none"/>
          <w:lang w:val="en-US" w:eastAsia="zh-CN"/>
        </w:rPr>
        <w:t xml:space="preserve">1.5%-2% </w:t>
      </w:r>
      <w:r>
        <w:rPr>
          <w:rFonts w:hint="eastAsia" w:ascii="宋体" w:hAnsi="宋体" w:eastAsia="宋体" w:cs="宋体"/>
          <w:color w:val="auto"/>
          <w:sz w:val="24"/>
          <w:szCs w:val="24"/>
          <w:highlight w:val="none"/>
          <w:lang w:eastAsia="zh-CN"/>
        </w:rPr>
        <w:t>（违约金金额大小应根据</w:t>
      </w:r>
      <w:r>
        <w:rPr>
          <w:rFonts w:hint="eastAsia" w:ascii="宋体" w:hAnsi="宋体" w:eastAsia="宋体" w:cs="宋体"/>
          <w:color w:val="auto"/>
          <w:kern w:val="0"/>
          <w:sz w:val="24"/>
          <w:szCs w:val="24"/>
          <w:highlight w:val="none"/>
        </w:rPr>
        <w:t>项目合同总价</w:t>
      </w:r>
      <w:r>
        <w:rPr>
          <w:rFonts w:hint="eastAsia" w:ascii="宋体" w:hAnsi="宋体" w:eastAsia="宋体" w:cs="宋体"/>
          <w:color w:val="auto"/>
          <w:sz w:val="24"/>
          <w:szCs w:val="24"/>
          <w:highlight w:val="none"/>
          <w:lang w:eastAsia="zh-CN"/>
        </w:rPr>
        <w:t>进行调整）</w:t>
      </w:r>
      <w:r>
        <w:rPr>
          <w:rFonts w:hint="eastAsia" w:ascii="宋体" w:hAnsi="宋体" w:eastAsia="宋体" w:cs="宋体"/>
          <w:color w:val="auto"/>
          <w:kern w:val="0"/>
          <w:sz w:val="24"/>
          <w:szCs w:val="24"/>
          <w:highlight w:val="none"/>
        </w:rPr>
        <w:t>的违约金，甲方有权视事故（事件）严重程度单方</w:t>
      </w:r>
      <w:r>
        <w:rPr>
          <w:rFonts w:hint="eastAsia" w:ascii="宋体" w:hAnsi="宋体" w:eastAsia="宋体" w:cs="宋体"/>
          <w:color w:val="auto"/>
          <w:kern w:val="0"/>
          <w:sz w:val="24"/>
          <w:szCs w:val="24"/>
          <w:highlight w:val="none"/>
          <w:lang w:val="en-US" w:eastAsia="zh-CN"/>
        </w:rPr>
        <w:t>面</w:t>
      </w:r>
      <w:r>
        <w:rPr>
          <w:rFonts w:hint="eastAsia" w:ascii="宋体" w:hAnsi="宋体" w:eastAsia="宋体" w:cs="宋体"/>
          <w:color w:val="auto"/>
          <w:kern w:val="0"/>
          <w:sz w:val="24"/>
          <w:szCs w:val="24"/>
          <w:highlight w:val="none"/>
        </w:rPr>
        <w:t>解除合同。</w:t>
      </w:r>
    </w:p>
    <w:p w14:paraId="38DD6522">
      <w:pPr>
        <w:keepNext w:val="0"/>
        <w:pageBreakBefore w:val="0"/>
        <w:overflowPunct/>
        <w:topLinePunct w:val="0"/>
        <w:autoSpaceDE/>
        <w:autoSpaceDN/>
        <w:bidi w:val="0"/>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、甲乙</w:t>
      </w:r>
      <w:r>
        <w:rPr>
          <w:rFonts w:hint="eastAsia" w:ascii="宋体" w:hAnsi="宋体" w:eastAsia="宋体" w:cs="宋体"/>
          <w:color w:val="auto"/>
          <w:sz w:val="24"/>
          <w:szCs w:val="24"/>
          <w:highlight w:val="none"/>
          <w:lang w:val="en-US" w:eastAsia="zh-CN"/>
        </w:rPr>
        <w:t>双</w:t>
      </w:r>
      <w:r>
        <w:rPr>
          <w:rFonts w:hint="eastAsia" w:ascii="宋体" w:hAnsi="宋体" w:eastAsia="宋体" w:cs="宋体"/>
          <w:color w:val="auto"/>
          <w:sz w:val="24"/>
          <w:szCs w:val="24"/>
          <w:highlight w:val="none"/>
        </w:rPr>
        <w:t>方确认，因本项目签订的其他合同与本协议约定不一致的，以有利于甲方的条款执行。</w:t>
      </w:r>
    </w:p>
    <w:p w14:paraId="66B2DA9E">
      <w:pPr>
        <w:keepNext w:val="0"/>
        <w:pageBreakBefore w:val="0"/>
        <w:overflowPunct/>
        <w:topLinePunct w:val="0"/>
        <w:autoSpaceDE/>
        <w:autoSpaceDN/>
        <w:bidi w:val="0"/>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、上述所涉损失包括但不限于诉讼仲裁费、律师费、赔偿费、财产保全费、评估鉴定费、执行费、拍卖费、差旅费等。</w:t>
      </w:r>
    </w:p>
    <w:p w14:paraId="68553364">
      <w:pPr>
        <w:keepNext w:val="0"/>
        <w:pageBreakBefore w:val="0"/>
        <w:overflowPunct/>
        <w:topLinePunct w:val="0"/>
        <w:autoSpaceDE/>
        <w:autoSpaceDN/>
        <w:bidi w:val="0"/>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9、其他约定：</w:t>
      </w:r>
      <w:r>
        <w:rPr>
          <w:rFonts w:hint="eastAsia" w:ascii="宋体" w:hAnsi="宋体" w:eastAsia="宋体" w:cs="宋体"/>
          <w:b w:val="0"/>
          <w:bCs w:val="0"/>
          <w:color w:val="auto"/>
          <w:sz w:val="24"/>
          <w:szCs w:val="24"/>
          <w:highlight w:val="none"/>
          <w:u w:val="none"/>
        </w:rPr>
        <w:t xml:space="preserve">（备注：可根据项目实际情况，自行添加相关条款） </w:t>
      </w:r>
    </w:p>
    <w:p w14:paraId="2D7C9766">
      <w:pPr>
        <w:keepNext w:val="0"/>
        <w:pageBreakBefore w:val="0"/>
        <w:overflowPunct/>
        <w:topLinePunct w:val="0"/>
        <w:autoSpaceDE/>
        <w:autoSpaceDN/>
        <w:bidi w:val="0"/>
        <w:snapToGrid/>
        <w:spacing w:line="480" w:lineRule="exact"/>
        <w:ind w:left="0" w:right="0" w:firstLine="480" w:firstLineChars="200"/>
        <w:outlineLvl w:val="9"/>
        <w:rPr>
          <w:rFonts w:hint="eastAsia" w:ascii="宋体" w:hAnsi="宋体" w:eastAsia="宋体" w:cs="宋体"/>
          <w:b w:val="0"/>
          <w:color w:val="auto"/>
          <w:sz w:val="24"/>
          <w:szCs w:val="24"/>
          <w:highlight w:val="none"/>
        </w:rPr>
      </w:pPr>
      <w:r>
        <w:rPr>
          <w:rFonts w:hint="eastAsia" w:ascii="宋体" w:hAnsi="宋体" w:eastAsia="宋体" w:cs="宋体"/>
          <w:b w:val="0"/>
          <w:bCs w:val="0"/>
          <w:color w:val="auto"/>
          <w:sz w:val="24"/>
          <w:szCs w:val="24"/>
          <w:highlight w:val="none"/>
        </w:rPr>
        <w:t>五、其他约定</w:t>
      </w:r>
    </w:p>
    <w:p w14:paraId="63CFB3F0">
      <w:pPr>
        <w:keepNext w:val="0"/>
        <w:pageBreakBefore w:val="0"/>
        <w:overflowPunct/>
        <w:topLinePunct w:val="0"/>
        <w:autoSpaceDE/>
        <w:autoSpaceDN/>
        <w:bidi w:val="0"/>
        <w:spacing w:line="480" w:lineRule="exact"/>
        <w:ind w:left="0" w:right="0"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1、甲、乙</w:t>
      </w:r>
      <w:r>
        <w:rPr>
          <w:rFonts w:hint="eastAsia" w:ascii="宋体" w:hAnsi="宋体" w:eastAsia="宋体" w:cs="宋体"/>
          <w:color w:val="auto"/>
          <w:kern w:val="0"/>
          <w:sz w:val="24"/>
          <w:szCs w:val="24"/>
          <w:highlight w:val="none"/>
          <w:lang w:val="en-US" w:eastAsia="zh-CN"/>
        </w:rPr>
        <w:t>双</w:t>
      </w:r>
      <w:r>
        <w:rPr>
          <w:rFonts w:hint="eastAsia" w:ascii="宋体" w:hAnsi="宋体" w:eastAsia="宋体" w:cs="宋体"/>
          <w:color w:val="auto"/>
          <w:kern w:val="0"/>
          <w:sz w:val="24"/>
          <w:szCs w:val="24"/>
          <w:highlight w:val="none"/>
        </w:rPr>
        <w:t>方应严格履行安全生产管理职责，在本项目作业区域内发生的伤亡、火灾、交通、治安等各类事故（事件）的，甲乙</w:t>
      </w:r>
      <w:r>
        <w:rPr>
          <w:rFonts w:hint="eastAsia" w:ascii="宋体" w:hAnsi="宋体" w:eastAsia="宋体" w:cs="宋体"/>
          <w:color w:val="auto"/>
          <w:kern w:val="0"/>
          <w:sz w:val="24"/>
          <w:szCs w:val="24"/>
          <w:highlight w:val="none"/>
          <w:lang w:val="en-US" w:eastAsia="zh-CN"/>
        </w:rPr>
        <w:t>双</w:t>
      </w:r>
      <w:r>
        <w:rPr>
          <w:rFonts w:hint="eastAsia" w:ascii="宋体" w:hAnsi="宋体" w:eastAsia="宋体" w:cs="宋体"/>
          <w:color w:val="auto"/>
          <w:kern w:val="0"/>
          <w:sz w:val="24"/>
          <w:szCs w:val="24"/>
          <w:highlight w:val="none"/>
        </w:rPr>
        <w:t>方应全力做好抢救</w:t>
      </w:r>
      <w:r>
        <w:rPr>
          <w:rFonts w:hint="eastAsia" w:ascii="宋体" w:hAnsi="宋体" w:eastAsia="宋体" w:cs="宋体"/>
          <w:color w:val="auto"/>
          <w:kern w:val="0"/>
          <w:sz w:val="24"/>
          <w:szCs w:val="24"/>
          <w:highlight w:val="none"/>
          <w:lang w:val="en-US" w:eastAsia="zh-CN"/>
        </w:rPr>
        <w:t>及善后处置</w:t>
      </w:r>
      <w:r>
        <w:rPr>
          <w:rFonts w:hint="eastAsia" w:ascii="宋体" w:hAnsi="宋体" w:eastAsia="宋体" w:cs="宋体"/>
          <w:color w:val="auto"/>
          <w:kern w:val="0"/>
          <w:sz w:val="24"/>
          <w:szCs w:val="24"/>
          <w:highlight w:val="none"/>
        </w:rPr>
        <w:t>工作。</w:t>
      </w:r>
    </w:p>
    <w:p w14:paraId="2951CEB0">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2、本协议一式</w:t>
      </w:r>
      <w:r>
        <w:rPr>
          <w:rFonts w:hint="eastAsia" w:ascii="宋体" w:hAnsi="宋体" w:eastAsia="宋体" w:cs="宋体"/>
          <w:color w:val="auto"/>
          <w:sz w:val="24"/>
          <w:szCs w:val="24"/>
          <w:highlight w:val="none"/>
          <w:u w:val="none"/>
          <w:lang w:val="en-US" w:eastAsia="zh-CN"/>
        </w:rPr>
        <w:t>陆</w:t>
      </w:r>
      <w:r>
        <w:rPr>
          <w:rFonts w:hint="eastAsia" w:ascii="宋体" w:hAnsi="宋体" w:eastAsia="宋体" w:cs="宋体"/>
          <w:color w:val="auto"/>
          <w:sz w:val="24"/>
          <w:szCs w:val="24"/>
          <w:highlight w:val="none"/>
        </w:rPr>
        <w:t>份，自双方盖章后生效，甲乙</w:t>
      </w:r>
      <w:r>
        <w:rPr>
          <w:rFonts w:hint="eastAsia" w:ascii="宋体" w:hAnsi="宋体" w:eastAsia="宋体" w:cs="宋体"/>
          <w:color w:val="auto"/>
          <w:sz w:val="24"/>
          <w:szCs w:val="24"/>
          <w:highlight w:val="none"/>
          <w:lang w:val="en-US" w:eastAsia="zh-CN"/>
        </w:rPr>
        <w:t>双</w:t>
      </w:r>
      <w:r>
        <w:rPr>
          <w:rFonts w:hint="eastAsia" w:ascii="宋体" w:hAnsi="宋体" w:eastAsia="宋体" w:cs="宋体"/>
          <w:color w:val="auto"/>
          <w:sz w:val="24"/>
          <w:szCs w:val="24"/>
          <w:highlight w:val="none"/>
        </w:rPr>
        <w:t>方各执</w:t>
      </w:r>
      <w:r>
        <w:rPr>
          <w:rFonts w:hint="eastAsia" w:ascii="宋体" w:hAnsi="宋体" w:eastAsia="宋体" w:cs="宋体"/>
          <w:color w:val="auto"/>
          <w:sz w:val="24"/>
          <w:szCs w:val="24"/>
          <w:highlight w:val="none"/>
          <w:u w:val="none"/>
          <w:lang w:val="en-US" w:eastAsia="zh-CN"/>
        </w:rPr>
        <w:t>叁</w:t>
      </w:r>
      <w:r>
        <w:rPr>
          <w:rFonts w:hint="eastAsia" w:ascii="宋体" w:hAnsi="宋体" w:eastAsia="宋体" w:cs="宋体"/>
          <w:color w:val="auto"/>
          <w:sz w:val="24"/>
          <w:szCs w:val="24"/>
          <w:highlight w:val="none"/>
        </w:rPr>
        <w:t>份，具有同等的法律效力。</w:t>
      </w:r>
    </w:p>
    <w:p w14:paraId="2DA8728A">
      <w:pPr>
        <w:keepNext w:val="0"/>
        <w:pageBreakBefore w:val="0"/>
        <w:overflowPunct/>
        <w:topLinePunct w:val="0"/>
        <w:autoSpaceDE/>
        <w:autoSpaceDN/>
        <w:bidi w:val="0"/>
        <w:snapToGrid/>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3、本协议作为</w:t>
      </w:r>
      <w:r>
        <w:rPr>
          <w:rFonts w:hint="eastAsia" w:ascii="宋体" w:hAnsi="宋体" w:eastAsia="宋体" w:cs="宋体"/>
          <w:color w:val="auto"/>
          <w:sz w:val="24"/>
          <w:szCs w:val="24"/>
          <w:highlight w:val="none"/>
          <w:u w:val="none"/>
        </w:rPr>
        <w:t>本项目</w:t>
      </w:r>
      <w:r>
        <w:rPr>
          <w:rFonts w:hint="eastAsia" w:ascii="宋体" w:hAnsi="宋体" w:eastAsia="宋体" w:cs="宋体"/>
          <w:color w:val="auto"/>
          <w:sz w:val="24"/>
          <w:szCs w:val="24"/>
          <w:highlight w:val="none"/>
        </w:rPr>
        <w:t>工程合同或项目合同的附件。</w:t>
      </w:r>
    </w:p>
    <w:p w14:paraId="1A2D6A25">
      <w:pPr>
        <w:keepNext w:val="0"/>
        <w:pageBreakBefore w:val="0"/>
        <w:overflowPunct/>
        <w:topLinePunct w:val="0"/>
        <w:autoSpaceDE/>
        <w:autoSpaceDN/>
        <w:bidi w:val="0"/>
        <w:spacing w:after="0" w:line="480" w:lineRule="exact"/>
        <w:ind w:left="0" w:righ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4、本合同非任何一方的格式合同，因合同及合同有关事项发生的争议，应首先进行友好协商，协商不成的，各方均同意按下列第</w:t>
      </w:r>
      <w:r>
        <w:rPr>
          <w:rFonts w:hint="eastAsia" w:ascii="宋体" w:hAnsi="宋体" w:eastAsia="宋体" w:cs="宋体"/>
          <w:color w:val="auto"/>
          <w:sz w:val="24"/>
          <w:szCs w:val="24"/>
          <w:highlight w:val="none"/>
          <w:u w:val="none"/>
          <w:lang w:val="en-US" w:eastAsia="zh-CN"/>
        </w:rPr>
        <w:t>（1）</w:t>
      </w:r>
      <w:r>
        <w:rPr>
          <w:rFonts w:hint="eastAsia" w:ascii="宋体" w:hAnsi="宋体" w:eastAsia="宋体" w:cs="宋体"/>
          <w:color w:val="auto"/>
          <w:sz w:val="24"/>
          <w:szCs w:val="24"/>
          <w:highlight w:val="none"/>
        </w:rPr>
        <w:t>种方式解决：（1）向</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none"/>
          <w:lang w:val="en-US" w:eastAsia="zh-CN"/>
        </w:rPr>
        <w:t>福州</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rPr>
        <w:t>仲裁委员会申请仲裁；（2）向</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none"/>
          <w:lang w:eastAsia="zh-CN"/>
        </w:rPr>
        <w:t>本项目</w:t>
      </w:r>
      <w:r>
        <w:rPr>
          <w:rFonts w:hint="eastAsia" w:ascii="宋体" w:hAnsi="宋体" w:eastAsia="宋体" w:cs="宋体"/>
          <w:color w:val="auto"/>
          <w:sz w:val="24"/>
          <w:szCs w:val="24"/>
          <w:highlight w:val="none"/>
          <w:u w:val="none"/>
        </w:rPr>
        <w:t xml:space="preserve">所在地有管辖权的 </w:t>
      </w:r>
      <w:r>
        <w:rPr>
          <w:rFonts w:hint="eastAsia" w:ascii="宋体" w:hAnsi="宋体" w:eastAsia="宋体" w:cs="宋体"/>
          <w:color w:val="auto"/>
          <w:sz w:val="24"/>
          <w:szCs w:val="24"/>
          <w:highlight w:val="none"/>
        </w:rPr>
        <w:t>人民法院起诉。</w:t>
      </w:r>
    </w:p>
    <w:p w14:paraId="262DD783">
      <w:pPr>
        <w:keepNext w:val="0"/>
        <w:pageBreakBefore w:val="0"/>
        <w:overflowPunct/>
        <w:topLinePunct w:val="0"/>
        <w:autoSpaceDE/>
        <w:autoSpaceDN/>
        <w:bidi w:val="0"/>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甲方（盖章）：                        </w:t>
      </w:r>
    </w:p>
    <w:p w14:paraId="78126FB0">
      <w:pPr>
        <w:keepNext w:val="0"/>
        <w:pageBreakBefore w:val="0"/>
        <w:overflowPunct/>
        <w:topLinePunct w:val="0"/>
        <w:autoSpaceDE/>
        <w:autoSpaceDN/>
        <w:bidi w:val="0"/>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p>
    <w:p w14:paraId="05CA461C">
      <w:pPr>
        <w:keepNext w:val="0"/>
        <w:pageBreakBefore w:val="0"/>
        <w:overflowPunct/>
        <w:topLinePunct w:val="0"/>
        <w:autoSpaceDE/>
        <w:autoSpaceDN/>
        <w:bidi w:val="0"/>
        <w:spacing w:line="480" w:lineRule="exact"/>
        <w:ind w:left="0" w:righ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（签章）：                                       </w:t>
      </w:r>
    </w:p>
    <w:p w14:paraId="6AA3917E">
      <w:pPr>
        <w:keepNext w:val="0"/>
        <w:pageBreakBefore w:val="0"/>
        <w:overflowPunct/>
        <w:topLinePunct w:val="0"/>
        <w:autoSpaceDE/>
        <w:autoSpaceDN/>
        <w:bidi w:val="0"/>
        <w:spacing w:line="480" w:lineRule="exact"/>
        <w:ind w:left="0" w:right="0" w:firstLine="480" w:firstLineChars="200"/>
        <w:rPr>
          <w:rFonts w:hint="eastAsia" w:ascii="宋体" w:hAnsi="宋体" w:eastAsia="宋体" w:cs="宋体"/>
          <w:color w:val="auto"/>
          <w:sz w:val="24"/>
          <w:szCs w:val="24"/>
          <w:highlight w:val="none"/>
        </w:rPr>
      </w:pPr>
    </w:p>
    <w:p w14:paraId="45054137">
      <w:pPr>
        <w:keepNext w:val="0"/>
        <w:pageBreakBefore w:val="0"/>
        <w:overflowPunct/>
        <w:topLinePunct w:val="0"/>
        <w:autoSpaceDE/>
        <w:autoSpaceDN/>
        <w:bidi w:val="0"/>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 xml:space="preserve">方（盖章）：                  </w:t>
      </w:r>
    </w:p>
    <w:p w14:paraId="31228CFE">
      <w:pPr>
        <w:keepNext w:val="0"/>
        <w:pageBreakBefore w:val="0"/>
        <w:overflowPunct/>
        <w:topLinePunct w:val="0"/>
        <w:autoSpaceDE/>
        <w:autoSpaceDN/>
        <w:bidi w:val="0"/>
        <w:spacing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p>
    <w:p w14:paraId="1DD8CEA7">
      <w:pPr>
        <w:keepNext w:val="0"/>
        <w:pageBreakBefore w:val="0"/>
        <w:overflowPunct/>
        <w:topLinePunct w:val="0"/>
        <w:autoSpaceDE/>
        <w:autoSpaceDN/>
        <w:bidi w:val="0"/>
        <w:spacing w:line="480" w:lineRule="exact"/>
        <w:ind w:left="0" w:right="0"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（签章）：    </w:t>
      </w:r>
    </w:p>
    <w:p w14:paraId="24E8A92C">
      <w:pPr>
        <w:pStyle w:val="11"/>
        <w:keepNext w:val="0"/>
        <w:pageBreakBefore w:val="0"/>
        <w:overflowPunct/>
        <w:topLinePunct w:val="0"/>
        <w:autoSpaceDE/>
        <w:autoSpaceDN/>
        <w:bidi w:val="0"/>
        <w:spacing w:line="480" w:lineRule="exact"/>
        <w:ind w:left="0" w:right="0" w:firstLine="480" w:firstLineChars="200"/>
      </w:pPr>
      <w:r>
        <w:rPr>
          <w:rFonts w:hint="eastAsia" w:ascii="宋体" w:hAnsi="宋体" w:eastAsia="宋体" w:cs="宋体"/>
          <w:color w:val="auto"/>
          <w:sz w:val="24"/>
          <w:szCs w:val="24"/>
          <w:highlight w:val="none"/>
        </w:rPr>
        <w:t xml:space="preserve">签订日期：      年     月    </w:t>
      </w:r>
      <w:r>
        <w:rPr>
          <w:rFonts w:hint="eastAsia" w:ascii="宋体" w:hAnsi="宋体" w:eastAsia="宋体" w:cs="宋体"/>
          <w:color w:val="auto"/>
          <w:sz w:val="24"/>
          <w:szCs w:val="24"/>
          <w:highlight w:val="none"/>
          <w:lang w:val="en-US" w:eastAsia="zh-CN"/>
        </w:rPr>
        <w:t>日</w:t>
      </w:r>
    </w:p>
    <w:p w14:paraId="29A6C565">
      <w:pPr>
        <w:keepNext w:val="0"/>
        <w:pageBreakBefore w:val="0"/>
        <w:overflowPunct/>
        <w:topLinePunct w:val="0"/>
        <w:autoSpaceDE/>
        <w:autoSpaceDN/>
        <w:bidi w:val="0"/>
        <w:spacing w:line="480" w:lineRule="exact"/>
        <w:ind w:left="0" w:right="0" w:firstLine="420" w:firstLineChars="200"/>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74F775"/>
    <w:multiLevelType w:val="singleLevel"/>
    <w:tmpl w:val="9774F775"/>
    <w:lvl w:ilvl="0" w:tentative="0">
      <w:start w:val="1"/>
      <w:numFmt w:val="decimal"/>
      <w:suff w:val="nothing"/>
      <w:lvlText w:val="%1．"/>
      <w:lvlJc w:val="left"/>
      <w:pPr>
        <w:ind w:left="0" w:firstLine="400"/>
      </w:pPr>
      <w:rPr>
        <w:rFonts w:hint="default"/>
      </w:rPr>
    </w:lvl>
  </w:abstractNum>
  <w:abstractNum w:abstractNumId="1">
    <w:nsid w:val="ECF5446C"/>
    <w:multiLevelType w:val="singleLevel"/>
    <w:tmpl w:val="ECF5446C"/>
    <w:lvl w:ilvl="0" w:tentative="0">
      <w:start w:val="1"/>
      <w:numFmt w:val="decimal"/>
      <w:suff w:val="nothing"/>
      <w:lvlText w:val="%1．"/>
      <w:lvlJc w:val="left"/>
      <w:pPr>
        <w:ind w:left="-20" w:firstLine="400"/>
      </w:pPr>
      <w:rPr>
        <w:rFonts w:hint="default"/>
      </w:rPr>
    </w:lvl>
  </w:abstractNum>
  <w:abstractNum w:abstractNumId="2">
    <w:nsid w:val="31E4B5E5"/>
    <w:multiLevelType w:val="singleLevel"/>
    <w:tmpl w:val="31E4B5E5"/>
    <w:lvl w:ilvl="0" w:tentative="0">
      <w:start w:val="1"/>
      <w:numFmt w:val="decimal"/>
      <w:suff w:val="nothing"/>
      <w:lvlText w:val="%1．"/>
      <w:lvlJc w:val="left"/>
      <w:pPr>
        <w:ind w:left="0" w:firstLine="400"/>
      </w:pPr>
      <w:rPr>
        <w:rFonts w:hint="default"/>
      </w:rPr>
    </w:lvl>
  </w:abstractNum>
  <w:abstractNum w:abstractNumId="3">
    <w:nsid w:val="7FDB3785"/>
    <w:multiLevelType w:val="singleLevel"/>
    <w:tmpl w:val="7FDB3785"/>
    <w:lvl w:ilvl="0" w:tentative="0">
      <w:start w:val="1"/>
      <w:numFmt w:val="decimal"/>
      <w:suff w:val="nothing"/>
      <w:lvlText w:val="%1．"/>
      <w:lvlJc w:val="left"/>
      <w:pPr>
        <w:ind w:left="-20" w:firstLine="400"/>
      </w:pPr>
      <w:rPr>
        <w:rFont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3D52A5"/>
    <w:rsid w:val="0EEE3DCB"/>
    <w:rsid w:val="20B87989"/>
    <w:rsid w:val="26853B3D"/>
    <w:rsid w:val="330044E3"/>
    <w:rsid w:val="33A343AF"/>
    <w:rsid w:val="42D07B44"/>
    <w:rsid w:val="69352A82"/>
    <w:rsid w:val="6D431B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unhideWhenUsed/>
    <w:qFormat/>
    <w:uiPriority w:val="0"/>
    <w:pPr>
      <w:widowControl w:val="0"/>
      <w:ind w:firstLine="420"/>
      <w:jc w:val="both"/>
    </w:pPr>
    <w:rPr>
      <w:rFonts w:ascii="Times New Roman" w:hAnsi="Times New Roman" w:eastAsia="宋体" w:cs="Times New Roman"/>
      <w:kern w:val="2"/>
      <w:sz w:val="21"/>
      <w:lang w:val="en-US" w:eastAsia="zh-CN" w:bidi="ar-SA"/>
    </w:rPr>
  </w:style>
  <w:style w:type="paragraph" w:styleId="4">
    <w:name w:val="Body Text"/>
    <w:basedOn w:val="1"/>
    <w:unhideWhenUsed/>
    <w:qFormat/>
    <w:uiPriority w:val="99"/>
    <w:pPr>
      <w:widowControl w:val="0"/>
      <w:spacing w:line="380" w:lineRule="exact"/>
      <w:jc w:val="both"/>
    </w:pPr>
    <w:rPr>
      <w:rFonts w:ascii="Times New Roman" w:hAnsi="Times New Roman" w:eastAsia="宋体" w:cs="Times New Roman"/>
      <w:kern w:val="2"/>
      <w:sz w:val="24"/>
      <w:lang w:val="en-US" w:eastAsia="zh-CN" w:bidi="ar-SA"/>
    </w:rPr>
  </w:style>
  <w:style w:type="paragraph" w:styleId="5">
    <w:name w:val="Balloon Text"/>
    <w:basedOn w:val="1"/>
    <w:next w:val="6"/>
    <w:semiHidden/>
    <w:qFormat/>
    <w:uiPriority w:val="0"/>
    <w:rPr>
      <w:sz w:val="18"/>
      <w:szCs w:val="18"/>
    </w:rPr>
  </w:style>
  <w:style w:type="paragraph" w:customStyle="1" w:styleId="6">
    <w:name w:val="正文缩进311"/>
    <w:next w:val="1"/>
    <w:qFormat/>
    <w:uiPriority w:val="0"/>
    <w:pPr>
      <w:wordWrap w:val="0"/>
      <w:ind w:left="3400"/>
      <w:jc w:val="both"/>
    </w:pPr>
    <w:rPr>
      <w:rFonts w:ascii="Calibri" w:hAnsi="Calibri" w:eastAsia="宋体" w:cs="Times New Roman"/>
      <w:sz w:val="21"/>
      <w:szCs w:val="22"/>
      <w:lang w:val="en-US" w:eastAsia="zh-CN" w:bidi="ar-SA"/>
    </w:r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null3"/>
    <w:hidden/>
    <w:qFormat/>
    <w:uiPriority w:val="0"/>
    <w:rPr>
      <w:rFonts w:hint="eastAsia" w:asciiTheme="minorHAnsi" w:hAnsiTheme="minorHAnsi" w:eastAsiaTheme="minorEastAsia" w:cstheme="minorBidi"/>
      <w:lang w:val="en-US" w:eastAsia="zh-Hans"/>
    </w:rPr>
  </w:style>
  <w:style w:type="paragraph" w:customStyle="1" w:styleId="11">
    <w:name w:val="表格文字"/>
    <w:next w:val="4"/>
    <w:qFormat/>
    <w:uiPriority w:val="0"/>
    <w:pPr>
      <w:widowControl w:val="0"/>
      <w:adjustRightInd w:val="0"/>
      <w:spacing w:line="420" w:lineRule="atLeast"/>
      <w:jc w:val="left"/>
      <w:textAlignment w:val="baseline"/>
    </w:pPr>
    <w:rPr>
      <w:rFonts w:ascii="Times New Roman" w:hAnsi="Times New Roman" w:eastAsia="宋体" w:cs="Times New Roman"/>
      <w:kern w:val="0"/>
      <w:sz w:val="21"/>
      <w:szCs w:val="20"/>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10409</Words>
  <Characters>10645</Characters>
  <Lines>0</Lines>
  <Paragraphs>0</Paragraphs>
  <TotalTime>1</TotalTime>
  <ScaleCrop>false</ScaleCrop>
  <LinksUpToDate>false</LinksUpToDate>
  <CharactersWithSpaces>11098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2026-09-08T01:08:00Z</dcterms:created>
  <dc:creator>CY</dc:creator>
  <cp:lastModifiedBy>陈源</cp:lastModifiedBy>
  <dcterms:modified xsi:type="dcterms:W3CDTF">2026-09-15T13:42:45Z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eyJoZGlkIjoiYmEyZDMxNWRkYmY5MjE3NjUxYTk3ZDA1NDUyNmVkYWEiLCJ1c2VySWQiOiIyNjkzODc4MTMifQ==</vt:lpwstr>
  </property>
  <property fmtid="{D5CDD505-2E9C-101B-9397-08002B2CF9AE}" pid="4" name="ICV">
    <vt:lpwstr>B420CE558015402B8738756B896890C8_12</vt:lpwstr>
  </property>
</Properties>
</file>